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7"/>
        <w:gridCol w:w="2971"/>
        <w:gridCol w:w="2972"/>
      </w:tblGrid>
      <w:tr>
        <w:tblPrEx>
          <w:shd w:val="clear" w:color="auto" w:fill="ced7e7"/>
        </w:tblPrEx>
        <w:trPr>
          <w:trHeight w:val="1208" w:hRule="atLeast"/>
        </w:trPr>
        <w:tc>
          <w:tcPr>
            <w:tcW w:type="dxa" w:w="3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center"/>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055644" cy="608471"/>
                  <wp:effectExtent l="0" t="0" r="0" b="0"/>
                  <wp:docPr id="1073741825" name="officeArt object" descr="PMCH Logo&#10;&#10;Peyton Manning Children's Hospital"/>
                  <wp:cNvGraphicFramePr/>
                  <a:graphic xmlns:a="http://schemas.openxmlformats.org/drawingml/2006/main">
                    <a:graphicData uri="http://schemas.openxmlformats.org/drawingml/2006/picture">
                      <pic:pic xmlns:pic="http://schemas.openxmlformats.org/drawingml/2006/picture">
                        <pic:nvPicPr>
                          <pic:cNvPr id="1073741825" name="PMCH LogoPeyton Manning Children's Hospital" descr="PMCH LogoPeyton Manning Children's Hospital"/>
                          <pic:cNvPicPr>
                            <a:picLocks noChangeAspect="1"/>
                          </pic:cNvPicPr>
                        </pic:nvPicPr>
                        <pic:blipFill>
                          <a:blip r:embed="rId8">
                            <a:extLst/>
                          </a:blip>
                          <a:stretch>
                            <a:fillRect/>
                          </a:stretch>
                        </pic:blipFill>
                        <pic:spPr>
                          <a:xfrm>
                            <a:off x="0" y="0"/>
                            <a:ext cx="2055644" cy="608471"/>
                          </a:xfrm>
                          <a:prstGeom prst="rect">
                            <a:avLst/>
                          </a:prstGeom>
                          <a:ln w="12700" cap="flat">
                            <a:noFill/>
                            <a:miter lim="400000"/>
                          </a:ln>
                          <a:effectLst/>
                        </pic:spPr>
                      </pic:pic>
                    </a:graphicData>
                  </a:graphic>
                </wp:inline>
              </w:drawing>
            </w:r>
          </w:p>
        </w:tc>
        <w:tc>
          <w:tcPr>
            <w:tcW w:type="dxa" w:w="2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720"/>
                <w:tab w:val="left" w:pos="1440"/>
                <w:tab w:val="left" w:pos="2160"/>
                <w:tab w:val="left" w:pos="2880"/>
              </w:tabs>
              <w:jc w:val="center"/>
              <w:rPr>
                <w:sz w:val="32"/>
                <w:szCs w:val="32"/>
              </w:rPr>
            </w:pPr>
            <w:r>
              <w:rPr>
                <w:rFonts w:ascii="Arial" w:hAnsi="Arial"/>
                <w:b w:val="1"/>
                <w:bCs w:val="1"/>
                <w:sz w:val="32"/>
                <w:szCs w:val="32"/>
                <w:rtl w:val="0"/>
                <w:lang w:val="nl-NL"/>
              </w:rPr>
              <w:t>Gastroenterología Pediátrica</w:t>
            </w:r>
          </w:p>
          <w:p>
            <w:pPr>
              <w:pStyle w:val="Body"/>
              <w:widowControl w:val="0"/>
              <w:tabs>
                <w:tab w:val="left" w:pos="720"/>
                <w:tab w:val="left" w:pos="1440"/>
                <w:tab w:val="left" w:pos="2160"/>
                <w:tab w:val="left" w:pos="2880"/>
              </w:tabs>
              <w:jc w:val="center"/>
            </w:pPr>
            <w:r>
              <w:rPr>
                <w:rFonts w:ascii="Arial" w:hAnsi="Arial"/>
                <w:sz w:val="24"/>
                <w:szCs w:val="24"/>
                <w:rtl w:val="0"/>
              </w:rPr>
              <w:t>(317) 338-9450</w:t>
            </w:r>
          </w:p>
        </w:tc>
        <w:tc>
          <w:tcPr>
            <w:tcW w:type="dxa" w:w="2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center"/>
              <w:rPr>
                <w:rtl w:val="0"/>
              </w:rPr>
            </w:pPr>
            <w:r>
              <w:rPr>
                <w:rFonts w:ascii="Times New Roman" w:hAnsi="Times New Roman"/>
                <w:sz w:val="20"/>
                <w:szCs w:val="20"/>
                <w:rtl w:val="0"/>
                <w:lang w:val="en-US"/>
              </w:rPr>
              <w:t xml:space="preserve">  </w:t>
            </w: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1238250" cy="733425"/>
                  <wp:effectExtent l="0" t="0" r="0" b="0"/>
                  <wp:docPr id="1073741826" name="officeArt object" descr="CSV Logo&#10;&#10;Children's Surgery Verification"/>
                  <wp:cNvGraphicFramePr/>
                  <a:graphic xmlns:a="http://schemas.openxmlformats.org/drawingml/2006/main">
                    <a:graphicData uri="http://schemas.openxmlformats.org/drawingml/2006/picture">
                      <pic:pic xmlns:pic="http://schemas.openxmlformats.org/drawingml/2006/picture">
                        <pic:nvPicPr>
                          <pic:cNvPr id="1073741826" name="CSV LogoChildren's Surgery Verification" descr="CSV LogoChildren's Surgery Verification"/>
                          <pic:cNvPicPr>
                            <a:picLocks noChangeAspect="1"/>
                          </pic:cNvPicPr>
                        </pic:nvPicPr>
                        <pic:blipFill>
                          <a:blip r:embed="rId9">
                            <a:extLst/>
                          </a:blip>
                          <a:stretch>
                            <a:fillRect/>
                          </a:stretch>
                        </pic:blipFill>
                        <pic:spPr>
                          <a:xfrm>
                            <a:off x="0" y="0"/>
                            <a:ext cx="1238250" cy="733425"/>
                          </a:xfrm>
                          <a:prstGeom prst="rect">
                            <a:avLst/>
                          </a:prstGeom>
                          <a:ln w="12700" cap="flat">
                            <a:noFill/>
                            <a:miter lim="400000"/>
                          </a:ln>
                          <a:effectLst/>
                        </pic:spPr>
                      </pic:pic>
                    </a:graphicData>
                  </a:graphic>
                </wp:inline>
              </w:drawing>
            </w:r>
          </w:p>
        </w:tc>
      </w:tr>
    </w:tbl>
    <w:tbl>
      <w:tblPr>
        <w:tblW w:w="9340" w:type="dxa"/>
        <w:jc w:val="left"/>
        <w:tblBorders>
          <w:top w:val="nil"/>
          <w:left w:val="nil"/>
          <w:bottom w:val="nil"/>
          <w:right w:val="nil"/>
          <w:insideH w:val="nil"/>
          <w:insideV w:val="nil"/>
        </w:tblBorders>
      </w:tblPr>
      <w:tblGrid>
        <w:gridCol w:w="5500"/>
        <w:gridCol w:w="2500"/>
        <w:gridCol w:w="1340"/>
      </w:tblGrid>
      <w:tr>
        <w:trPr/>
        <w:tc>
          <w:tcPr>
            <w:tcW w:type="dxa" w:w="5500"/>
            <w:tcBorders>
              <w:top w:val="nil"/>
              <w:left w:val="nil"/>
              <w:bottom w:val="nil"/>
              <w:right w:val="nil"/>
            </w:tcBorders>
            <w:tcMar>
              <w:top w:type="dxa" w:w="0"/>
              <w:left w:type="dxa" w:w="40"/>
              <w:bottom w:type="dxa" w:w="0"/>
              <w:right w:type="dxa" w:w="0"/>
            </w:tcMar>
            <w:vAlign w:val="center"/>
          </w:tcPr>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sz w:val="32"/>
                <w:szCs w:val="32"/>
                <w:rtl w:val="0"/>
                <w:lang w:val="en-US"/>
              </w:rPr>
              <w:t>Preparación para Colonoscopia</w:t>
            </w:r>
          </w:p>
        </w:tc>
        <w:tc>
          <w:tcPr>
            <w:tcW w:type="dxa" w:w="2500"/>
            <w:tcBorders>
              <w:top w:val="nil"/>
              <w:left w:val="nil"/>
              <w:bottom w:val="nil"/>
              <w:right w:val="nil"/>
            </w:tcBorders>
            <w:tcMar>
              <w:top w:type="dxa" w:w="0"/>
              <w:left w:type="dxa" w:w="40"/>
              <w:bottom w:type="dxa" w:w="0"/>
              <w:right w:type="dxa" w:w="0"/>
            </w:tcMar>
            <w:vAlign w:val="center"/>
          </w:tcPr>
          <w:p>
            <w:pPr>
              <w:pStyle w:val="Default"/>
              <w:spacing w:before="0" w:after="0"/>
              <w:jc w:val="right"/>
            </w:pPr>
            <w:r>
              <w:rPr>
                <w:rFonts w:ascii="Arial" w:hAnsi="Arial"/>
                <w:i w:val="1"/>
                <w:color w:val="666666"/>
                <w:sz w:val="12"/>
                <w:szCs w:val="12"/>
              </w:rPr>
              <w:t>Escanee</w:t>
              <w:br/>
              <w:t>para versión</w:t>
              <w:br/>
              <w:t>móvil</w:t>
            </w:r>
          </w:p>
        </w:tc>
        <w:tc>
          <w:tcPr>
            <w:tcW w:type="dxa" w:w="1340"/>
            <w:tcBorders>
              <w:top w:val="nil"/>
              <w:left w:val="nil"/>
              <w:bottom w:val="nil"/>
              <w:right w:val="nil"/>
            </w:tcBorders>
            <w:tcMar>
              <w:top w:type="dxa" w:w="0"/>
              <w:left w:type="dxa" w:w="40"/>
              <w:bottom w:type="dxa" w:w="0"/>
              <w:right w:type="dxa" w:w="0"/>
            </w:tcMar>
            <w:vAlign w:val="center"/>
          </w:tcPr>
          <w:p>
            <w:pPr>
              <w:pStyle w:val="Default"/>
              <w:spacing w:before="0" w:after="0"/>
              <w:jc w:val="left"/>
            </w:pPr>
            <w:r>
              <w:rPr/>
              <w:drawing>
                <wp:inline distT="0" distB="0" distL="0" distR="0">
                  <wp:extent cx="362000" cy="362000"/>
                  <wp:effectExtent l="0" t="0" r="0" b="0"/>
                  <wp:docPr id="999" name="Mobi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MobileQR"/>
                          <pic:cNvPicPr/>
                        </pic:nvPicPr>
                        <pic:blipFill>
                          <a:blip r:embed="rId17"/>
                          <a:stretch>
                            <a:fillRect/>
                          </a:stretch>
                        </pic:blipFill>
                        <pic:spPr>
                          <a:xfrm>
                            <a:off x="0" y="0"/>
                            <a:ext cx="362000" cy="362000"/>
                          </a:xfrm>
                          <a:prstGeom prst="rect">
                            <a:avLst/>
                          </a:prstGeom>
                        </pic:spPr>
                      </pic:pic>
                    </a:graphicData>
                  </a:graphic>
                </wp:inline>
              </w:drawing>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2e75b6"/>
          <w:sz w:val="24"/>
          <w:szCs w:val="24"/>
          <w:u w:color="2e75b6"/>
          <w:rtl w:val="0"/>
          <w:lang w:val="en-US"/>
          <w14:textFill>
            <w14:solidFill>
              <w14:srgbClr w14:val="2E75B6"/>
            </w14:solidFill>
          </w14:textFill>
        </w:rPr>
        <w:t>{{DOCX_HEADING}}</w:t>
      </w:r>
    </w:p>
    <w:p>
      <w:pPr>
        <w:pStyle w:val="Default"/>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360"/>
        <w:gridCol w:w="2000"/>
      </w:tblGrid>
      <w:tr>
        <w:tblPrEx>
          <w:shd w:val="clear" w:color="auto" w:fill="ced7e7"/>
        </w:tblPrEx>
        <w:trPr>
          <w:trHeight w:val="1556" w:hRule="atLeast"/>
        </w:trPr>
        <w:tc>
          <w:tcPr>
            <w:tcW w:type="dxa" w:w="7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b w:val="1"/>
                <w:bCs w:val="1"/>
                <w:sz w:val="24"/>
                <w:szCs w:val="24"/>
                <w:rtl w:val="0"/>
                <w:lang w:val="en-US"/>
              </w:rPr>
              <w:t>Ubicación del Procedimiento: {{LOCATION_NAME}}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rtl w:val="0"/>
                <w:lang w:val="en-US"/>
              </w:rPr>
              <w:t xml:space="preserve">{{LOCATION_ADDRESS}}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rtl w:val="0"/>
                <w:lang w:val="en-US"/>
              </w:rPr>
              <w:t>{{LOCATION_PHONE_LABEL}}: {{LOCATION_PHONE}}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b w:val="1"/>
                <w:bCs w:val="1"/>
                <w:outline w:val="0"/>
                <w:color w:val="d9534f"/>
                <w:u w:color="d9534f"/>
                <w:rtl w:val="0"/>
                <w:lang w:val="en-US"/>
                <w14:textFill>
                  <w14:solidFill>
                    <w14:srgbClr w14:val="D9534F"/>
                  </w14:solidFill>
                </w14:textFill>
              </w:rPr>
              <w:t>{{LOCATION_ARRIVAL}}</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Fonts w:ascii="Times New Roman" w:cs="Times New Roman" w:hAnsi="Times New Roman" w:eastAsia="Times New Roman"/>
                <w:sz w:val="20"/>
                <w:szCs w:val="20"/>
                <w:rtl w:val="0"/>
              </w:rPr>
            </w:pPr>
            <w:r>
              <w:rPr>
                <w:rFonts w:ascii="Times New Roman" w:cs="Times New Roman" w:hAnsi="Times New Roman" w:eastAsia="Times New Roman"/>
                <w:sz w:val="20"/>
                <w:szCs w:val="20"/>
                <w:rtl w:val="0"/>
              </w:rPr>
              <w:drawing xmlns:a="http://schemas.openxmlformats.org/drawingml/2006/main">
                <wp:inline distT="0" distB="0" distL="0" distR="0">
                  <wp:extent cx="571500" cy="571500"/>
                  <wp:effectExtent l="0" t="0" r="0" b="0"/>
                  <wp:docPr id="1073741827" name="officeArt object" descr="QR&#10;&#10;Scan for directions"/>
                  <wp:cNvGraphicFramePr/>
                  <a:graphic xmlns:a="http://schemas.openxmlformats.org/drawingml/2006/main">
                    <a:graphicData uri="http://schemas.openxmlformats.org/drawingml/2006/picture">
                      <pic:pic xmlns:pic="http://schemas.openxmlformats.org/drawingml/2006/picture">
                        <pic:nvPicPr>
                          <pic:cNvPr id="1073741827" name="QRScan for directions" descr="QRScan for directions"/>
                          <pic:cNvPicPr>
                            <a:picLocks noChangeAspect="1"/>
                          </pic:cNvPicPr>
                        </pic:nvPicPr>
                        <pic:blipFill>
                          <a:blip r:embed="rId10">
                            <a:extLst/>
                          </a:blip>
                          <a:stretch>
                            <a:fillRect/>
                          </a:stretch>
                        </pic:blipFill>
                        <pic:spPr>
                          <a:xfrm>
                            <a:off x="0" y="0"/>
                            <a:ext cx="571500" cy="571500"/>
                          </a:xfrm>
                          <a:prstGeom prst="rect">
                            <a:avLst/>
                          </a:prstGeom>
                          <a:ln w="12700" cap="flat">
                            <a:noFill/>
                            <a:miter lim="400000"/>
                          </a:ln>
                          <a:effectLst/>
                        </pic:spPr>
                      </pic:pic>
                    </a:graphicData>
                  </a:graphic>
                </wp:inline>
              </w:drawing>
            </w:r>
          </w:p>
          <w:p>
            <w:pPr>
              <w:pStyle w:val="Default"/>
              <w:tabs>
                <w:tab w:val="left" w:pos="720"/>
                <w:tab w:val="left" w:pos="1440"/>
              </w:tabs>
              <w:bidi w:val="0"/>
              <w:ind w:left="0" w:right="0" w:firstLine="0"/>
              <w:jc w:val="left"/>
              <w:rPr>
                <w:rtl w:val="0"/>
              </w:rPr>
            </w:pPr>
            <w:r>
              <w:rPr>
                <w:rFonts w:ascii="Arial" w:hAnsi="Arial"/>
                <w:i w:val="1"/>
                <w:iCs w:val="1"/>
                <w:sz w:val="16"/>
                <w:szCs w:val="16"/>
                <w:u w:color="000000"/>
                <w:shd w:val="nil" w:color="auto" w:fill="auto"/>
                <w:rtl w:val="0"/>
                <w:lang w:val="en-US"/>
              </w:rPr>
              <w:t xml:space="preserve">Scan </w:t>
            </w:r>
            <w:r>
              <w:rPr>
                <w:rFonts w:ascii="Arial" w:hAnsi="Arial"/>
                <w:i w:val="1"/>
                <w:iCs w:val="1"/>
                <w:sz w:val="16"/>
                <w:szCs w:val="16"/>
                <w:u w:color="000000"/>
                <w:shd w:val="nil" w:color="auto" w:fill="auto"/>
                <w:rtl w:val="0"/>
                <w:lang w:val="en-US"/>
              </w:rPr>
              <w:t>for Google Maps directions</w:t>
            </w:r>
          </w:p>
        </w:tc>
      </w:tr>
    </w:tbl>
    <w:p>
      <w:pPr>
        <w:pStyle w:val="List Paragraph"/>
        <w:jc w:val="center"/>
      </w:pPr>
      <w:r>
        <w:rPr>
          <w:rFonts w:ascii="Arial" w:hAnsi="Arial"/>
          <w:b w:val="1"/>
          <w:bCs w:val="1"/>
          <w:color w:val="2e75b6"/>
          <w:sz w:val="24"/>
          <w:szCs w:val="24"/>
          <w:lang w:val="en-US"/>
        </w:rPr>
        <w:t>Opción Líquidos Claros + Enema</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Planifique con Anticipación (recoja en la farmacia)</w:t>
      </w:r>
    </w:p>
    <w:p>
      <w:pPr>
        <w:pStyle w:val="Default"/>
      </w:pPr>
      <w:r>
        <w:rPr>
          <w:rFonts w:ascii="Arial" w:hAnsi="Arial"/>
          <w:sz w:val="24"/>
          <w:szCs w:val="24"/>
          <w:lang w:val="en-US"/>
        </w:rPr>
        <w:t xml:space="preserve">•  Pedialyte® o jugo de manzana claro</w:t>
      </w:r>
    </w:p>
    <w:p>
      <w:pPr>
        <w:pStyle w:val="Default"/>
      </w:pPr>
      <w:r>
        <w:rPr>
          <w:rFonts w:ascii="Arial" w:hAnsi="Arial"/>
          <w:sz w:val="24"/>
          <w:szCs w:val="24"/>
          <w:lang w:val="en-US"/>
        </w:rPr>
        <w:t xml:space="preserve">•  Caldo claro (de pollo o vegetales)</w:t>
      </w:r>
    </w:p>
    <w:p>
      <w:pPr>
        <w:pStyle w:val="Default"/>
      </w:pPr>
      <w:r>
        <w:rPr>
          <w:rFonts w:ascii="Arial" w:hAnsi="Arial"/>
          <w:sz w:val="24"/>
          <w:szCs w:val="24"/>
          <w:lang w:val="en-US"/>
        </w:rPr>
        <w:t xml:space="preserve">•  Paletas o gelatina simple (sin colores rojos o morados)</w:t>
      </w:r>
    </w:p>
    <w:p>
      <w:pPr>
        <w:pStyle w:val="Default"/>
      </w:pPr>
      <w:r>
        <w:rPr>
          <w:rFonts w:ascii="Arial" w:hAnsi="Arial"/>
          <w:sz w:val="24"/>
          <w:szCs w:val="24"/>
          <w:lang w:val="en-US"/>
        </w:rPr>
        <w:t xml:space="preserve">•  Enema de solución salina (si se receta, o si le indicamos por separado dar el enema)</w:t>
      </w:r>
    </w:p>
    <w:p>
      <w:pPr>
        <w:pStyle w:val="Default"/>
      </w:pPr>
      <w:r>
        <w:rPr>
          <w:rFonts w:ascii="Arial" w:hAnsi="Arial"/>
          <w:sz w:val="24"/>
          <w:szCs w:val="24"/>
          <w:lang w:val="en-US"/>
        </w:rPr>
        <w:t xml:space="preserve">•  Ungüento protector (A&amp;D, Desitin®, o Vaseline®) para el área del pañal</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Día Antes del Procedimiento</w:t>
      </w:r>
    </w:p>
    <w:tbl>
      <w:tblPr>
        <w:tblW w:w="934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670"/>
        <w:gridCol w:w="4670"/>
      </w:tblGrid>
      <w:tr>
        <w:trPr>
          <w:cantSplit/>
        </w:trPr>
        <w:tc>
          <w:tcPr>
            <w:tcW w:type="dxa" w:w="9340"/>
            <w:gridSpan w:val="2"/>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List Paragraph"/>
              <w:jc w:val="center"/>
            </w:pPr>
            <w:r>
              <w:rPr>
                <w:rFonts w:ascii="Arial" w:hAnsi="Arial"/>
                <w:b w:val="1"/>
                <w:bCs w:val="1"/>
                <w:color w:val="2e75b6"/>
                <w:sz w:val="22"/>
                <w:szCs w:val="22"/>
              </w:rPr>
              <w:t>Permitido y Evitar</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List Paragraph"/>
            </w:pPr>
            <w:r>
              <w:rPr>
                <w:rFonts w:ascii="Arial" w:hAnsi="Arial"/>
                <w:b w:val="1"/>
                <w:bCs w:val="1"/>
                <w:color w:val="d9534f"/>
                <w:sz w:val="24"/>
                <w:szCs w:val="24"/>
              </w:rPr>
              <w:t>EVITAR:</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List Paragraph"/>
            </w:pPr>
            <w:r>
              <w:rPr>
                <w:rFonts w:ascii="Arial" w:hAnsi="Arial"/>
                <w:b w:val="1"/>
                <w:bCs w:val="1"/>
                <w:color w:val="4caf50"/>
                <w:sz w:val="24"/>
                <w:szCs w:val="24"/>
              </w:rPr>
              <w:t>PERMITIDO BEBER:</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Todas las comidas sólidas</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Fórmula o leche (hasta las 12:00 PM)</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Fórmula o leche después de las 12:00 PM</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Leche materna (hasta las 8:00 PM)</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Leche materna después de las 8:00 PM</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Pedialyte®</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Cualquier cosa roja o morada (parece sangre)</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Jugo de manzana claro (sin pulpa)</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Agua</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Caldo claro (de pollo o vegetales, colado)</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Paletas o gelatina simple (sin rojo/morado)</w:t>
            </w:r>
          </w:p>
        </w:tc>
      </w:tr>
    </w:tbl>
    <w:p>
      <w:pPr>
        <w:pStyle w:val="Default"/>
      </w:pPr>
      <w:r>
        <w:rPr>
          <w:rFonts w:ascii="Arial" w:hAnsi="Arial"/>
          <w:sz w:val="24"/>
          <w:szCs w:val="24"/>
          <w:lang w:val="en-US"/>
        </w:rPr>
        <w:t xml:space="preserve"/>
      </w:r>
    </w:p>
    <w:p>
      <w:pPr>
        <w:pStyle w:val="Default"/>
      </w:pPr>
      <w:r>
        <w:rPr>
          <w:rFonts w:ascii="Arial" w:hAnsi="Arial"/>
          <w:b w:val="1"/>
          <w:bCs w:val="1"/>
          <w:sz w:val="24"/>
          <w:szCs w:val="24"/>
          <w:lang w:val="en-US"/>
        </w:rPr>
        <w:t xml:space="preserve">Enema de solución salina:</w:t>
      </w:r>
      <w:r>
        <w:rPr>
          <w:rFonts w:ascii="Arial" w:hAnsi="Arial"/>
          <w:sz w:val="24"/>
          <w:szCs w:val="24"/>
          <w:lang w:val="en-US"/>
        </w:rPr>
        <w:t xml:space="preserve"> Si su doctor recetó un enema de solución salina, dé el enema en la noche. La dosis es 10 mL por kg de peso. Si no le indicaron darlo en casa, el doctor lo dará justo antes del procedimiento.</w:t>
      </w:r>
    </w:p>
    <w:p>
      <w:pPr>
        <w:pStyle w:val="Default"/>
      </w:pPr>
      <w:r>
        <w:rPr>
          <w:rFonts w:ascii="Arial" w:hAnsi="Arial"/>
          <w:sz w:val="24"/>
          <w:szCs w:val="24"/>
          <w:lang w:val="en-US"/>
        </w:rPr>
        <w:t xml:space="preserve">Aplique ungüento protector en el área del pañal.</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Reglas de Ayuno — Día del Procedimiento</w:t>
      </w:r>
    </w:p>
    <w:tbl>
      <w:tblPr>
        <w:tblW w:w="934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5500"/>
        <w:gridCol w:w="3840"/>
      </w:tblGrid>
      <w:tr>
        <w:trPr>
          <w:cantSplit/>
        </w:trPr>
        <w:tc>
          <w:tcPr>
            <w:tcW w:type="dxa" w:w="550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b w:val="1"/>
                <w:bCs w:val="1"/>
                <w:sz w:val="24"/>
                <w:szCs w:val="24"/>
                <w:lang w:val="en-US"/>
              </w:rPr>
              <w:t xml:space="preserve">Qué</w:t>
            </w:r>
          </w:p>
        </w:tc>
        <w:tc>
          <w:tcPr>
            <w:tcW w:type="dxa" w:w="384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b w:val="1"/>
                <w:bCs w:val="1"/>
                <w:sz w:val="24"/>
                <w:szCs w:val="24"/>
                <w:lang w:val="en-US"/>
              </w:rPr>
              <w:t xml:space="preserve">Cuándo Suspender</w:t>
            </w:r>
          </w:p>
        </w:tc>
      </w:tr>
      <w:tr>
        <w:trPr>
          <w:cantSplit/>
        </w:trPr>
        <w:tc>
          <w:tcPr>
            <w:tcW w:type="dxa" w:w="550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Fórmula o leche (1 año y mayores)</w:t>
            </w:r>
          </w:p>
        </w:tc>
        <w:tc>
          <w:tcPr>
            <w:tcW w:type="dxa" w:w="384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12:00 PM del día anterior</w:t>
            </w:r>
          </w:p>
        </w:tc>
      </w:tr>
      <w:tr>
        <w:trPr>
          <w:cantSplit/>
        </w:trPr>
        <w:tc>
          <w:tcPr>
            <w:tcW w:type="dxa" w:w="550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Leche materna</w:t>
            </w:r>
          </w:p>
        </w:tc>
        <w:tc>
          <w:tcPr>
            <w:tcW w:type="dxa" w:w="384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8:00 PM del día anterior</w:t>
            </w:r>
          </w:p>
        </w:tc>
      </w:tr>
      <w:tr>
        <w:trPr>
          <w:cantSplit/>
        </w:trPr>
        <w:tc>
          <w:tcPr>
            <w:tcW w:type="dxa" w:w="550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Líquidos claros (Pedialyte, agua, jugo claro)</w:t>
            </w:r>
          </w:p>
        </w:tc>
        <w:tc>
          <w:tcPr>
            <w:tcW w:type="dxa" w:w="384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2 horas antes del procedimiento</w:t>
            </w:r>
          </w:p>
        </w:tc>
      </w:tr>
    </w:tbl>
    <w:p>
      <w:pPr>
        <w:pStyle w:val="Default"/>
      </w:pPr>
      <w:r>
        <w:rPr>
          <w:rFonts w:ascii="Arial" w:hAnsi="Arial"/>
          <w:b w:val="1"/>
          <w:bCs w:val="1"/>
          <w:sz w:val="24"/>
          <w:szCs w:val="24"/>
          <w:lang w:val="en-US"/>
        </w:rPr>
        <w:t xml:space="preserve">Después del último límite de líquidos claros, no le dé nada de comer o beber. Esto mantiene seguro a su niño durante la anestesia.</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Cuándo Llamar al Doctor</w:t>
      </w:r>
    </w:p>
    <w:p>
      <w:pPr>
        <w:pStyle w:val="Default"/>
      </w:pPr>
      <w:r>
        <w:rPr>
          <w:rFonts w:ascii="Arial" w:hAnsi="Arial"/>
          <w:sz w:val="24"/>
          <w:szCs w:val="24"/>
          <w:rtl w:val="0"/>
          <w:lang w:val="en-US"/>
        </w:rPr>
        <w:t xml:space="preserve">•  Su niño no quiere beber, o tiene signos de deshidratación: sin lágrimas, boca seca, o sin pañales mojados por 6+ horas</w:t>
      </w:r>
    </w:p>
    <w:p>
      <w:pPr>
        <w:pStyle w:val="Default"/>
      </w:pPr>
      <w:r>
        <w:rPr>
          <w:rFonts w:ascii="Arial" w:hAnsi="Arial"/>
          <w:sz w:val="24"/>
          <w:szCs w:val="24"/>
          <w:rtl w:val="0"/>
          <w:lang w:val="en-US"/>
        </w:rPr>
        <w:t xml:space="preserve">•  Vómitos que impiden que su niño retenga líquidos</w:t>
      </w:r>
    </w:p>
    <w:p>
      <w:pPr>
        <w:pStyle w:val="Default"/>
      </w:pPr>
      <w:r>
        <w:rPr>
          <w:rFonts w:ascii="Arial" w:hAnsi="Arial"/>
          <w:sz w:val="24"/>
          <w:szCs w:val="24"/>
          <w:rtl w:val="0"/>
          <w:lang w:val="en-US"/>
        </w:rPr>
        <w:t xml:space="preserve">•  Fiebre, heces con sangre, o dolor abdominal severo</w:t>
      </w:r>
    </w:p>
    <w:p>
      <w:pPr>
        <w:pStyle w:val="Default"/>
      </w:pPr>
      <w:r>
        <w:rPr>
          <w:rFonts w:ascii="Arial" w:hAnsi="Arial"/>
          <w:sz w:val="24"/>
          <w:szCs w:val="24"/>
          <w:rtl w:val="0"/>
          <w:lang w:val="en-US"/>
        </w:rPr>
        <w:t xml:space="preserve">•  No está seguro si la preparación está funcionando</w:t>
      </w:r>
    </w:p>
    <w:p>
      <w:pPr>
        <w:pStyle w:val="Default"/>
      </w:pPr>
      <w:r>
        <w:rPr>
          <w:rFonts w:ascii="Arial" w:hAnsi="Arial"/>
          <w:sz w:val="24"/>
          <w:szCs w:val="24"/>
          <w:rtl w:val="0"/>
          <w:lang w:val="en-US"/>
        </w:rPr>
        <w:t xml:space="preserve">•  Tiene preguntas sobre los medicamentos de su niño</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Consejos para el Éxito</w:t>
      </w:r>
    </w:p>
    <w:p>
      <w:pPr>
        <w:pStyle w:val="Default"/>
      </w:pPr>
      <w:r>
        <w:rPr>
          <w:rFonts w:ascii="Arial" w:hAnsi="Arial"/>
          <w:sz w:val="24"/>
          <w:szCs w:val="24"/>
          <w:rtl w:val="0"/>
          <w:lang w:val="en-US"/>
        </w:rPr>
        <w:t xml:space="preserve">•  Ofrezca líquidos claros frecuentemente en pequeñas cantidades — una jeringa, vaso entrenador o biberón pueden ayudar.</w:t>
      </w:r>
    </w:p>
    <w:p>
      <w:pPr>
        <w:pStyle w:val="Default"/>
      </w:pPr>
      <w:r>
        <w:rPr>
          <w:rFonts w:ascii="Arial" w:hAnsi="Arial"/>
          <w:sz w:val="24"/>
          <w:szCs w:val="24"/>
          <w:rtl w:val="0"/>
          <w:lang w:val="en-US"/>
        </w:rPr>
        <w:t xml:space="preserve">•  Las paletas y la gelatina ayudan a mantener hidratado a su niño. Evite los colores rojos y morados — pueden parecer sangre.</w:t>
      </w:r>
    </w:p>
    <w:p>
      <w:pPr>
        <w:pStyle w:val="Default"/>
      </w:pPr>
      <w:r>
        <w:rPr>
          <w:rFonts w:ascii="Arial" w:hAnsi="Arial"/>
          <w:sz w:val="24"/>
          <w:szCs w:val="24"/>
          <w:rtl w:val="0"/>
          <w:lang w:val="en-US"/>
        </w:rPr>
        <w:t xml:space="preserve">•  Espere heces acuosas frecuentes — esto significa que la preparación está funcionando.</w:t>
      </w:r>
    </w:p>
    <w:p>
      <w:pPr>
        <w:pStyle w:val="Default"/>
      </w:pPr>
      <w:r>
        <w:rPr>
          <w:rFonts w:ascii="Arial" w:hAnsi="Arial"/>
          <w:sz w:val="24"/>
          <w:szCs w:val="24"/>
          <w:rtl w:val="0"/>
          <w:lang w:val="en-US"/>
        </w:rPr>
        <w:t xml:space="preserve">•  Mantenga el área del pañal bien protegida con ungüento para prevenir irritación.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color="FFFFFF" w:sz="0"/>
              <w:left w:val="none" w:color="FFFFFF" w:sz="0"/>
              <w:bottom w:val="none" w:color="FFFFFF" w:sz="0"/>
              <w:right w:val="none" w:color="FFFFFF" w:sz="0"/>
            </w:tcBorders>
            <w:vAlign w:val="center"/>
          </w:tcPr>
          <w:p>
            <w:pPr>
              <w:pBdr>
                <w:bottom w:val="single" w:color="2E75B6" w:sz="2" w:space="4"/>
              </w:pBdr>
              <w:spacing w:after="100" w:before="0"/>
            </w:pPr>
            <w:r>
              <w:rPr>
                <w:rFonts w:ascii="Arial" w:cs="Arial" w:eastAsia="Arial" w:hAnsi="Arial"/>
                <w:b/>
                <w:bCs/>
                <w:color w:val="2E75B6"/>
                <w:sz w:val="28"/>
                <w:szCs w:val="28"/>
              </w:rPr>
              <w:t xml:space="preserve">Recursos Útiles</w:t>
            </w:r>
          </w:p>
          <w:p>
            <w:hyperlink w:history="1" r:id="rIdrf1rktk8rqoqzhwexkbnp">
              <w:r>
                <w:rPr>
                  <w:rFonts w:ascii="Apple Color Emoji" w:hAnsi="Apple Color Emoji" w:cs="Apple Color Emoji" w:eastAsia="Apple Color Emoji"/>
                  <w:rStyle w:val="Hyperlink"/>
                  <w:sz w:val="22"/>
                  <w:szCs w:val="22"/>
                </w:rPr>
                <w:t xml:space="preserve">🎥</w:t>
              </w:r>
              <w:r>
                <w:rPr>
                  <w:rFonts w:ascii="Arial" w:cs="Arial" w:eastAsia="Arial" w:hAnsi="Arial"/>
                  <w:rStyle w:val="Hyperlink"/>
                  <w:sz w:val="22"/>
                  <w:szCs w:val="22"/>
                </w:rPr>
                <w:t xml:space="preserve"> Vea: Cómo prepararse para la colonoscopia de su niño</w:t>
              </w:r>
            </w:hyperlink>
          </w:p>
          <w:p>
            <w:pPr>
              <w:spacing w:before="100"/>
            </w:pPr>
            <w:hyperlink w:history="1" r:id="rIduardcpghddnqlwgv0algj">
              <w:r>
                <w:rPr>
                  <w:rStyle w:val="Hyperlink"/>
                  <w:rFonts w:ascii="Arial" w:cs="Arial" w:eastAsia="Arial" w:hAnsi="Arial"/>
                  <w:sz w:val="22"/>
                  <w:szCs w:val="22"/>
                </w:rPr>
                <w:t xml:space="preserve">Aprenda más sobre la colonoscopia pediátrica (GIKids.org)</w:t>
              </w:r>
            </w:hyperlink>
          </w:p>
        </w:tc>
        <w:tc>
          <w:tcPr>
            <w:tcW w:type="dxa" w:w="2000"/>
            <w:tcBorders>
              <w:top w:val="none" w:color="FFFFFF" w:sz="0"/>
              <w:left w:val="none" w:color="FFFFFF" w:sz="0"/>
              <w:bottom w:val="none" w:color="FFFFFF" w:sz="0"/>
              <w:right w:val="none" w:color="FFFFFF" w:sz="0"/>
            </w:tcBorders>
          </w:tcPr>
          <w:p>
            <w:pPr>
              <w:jc w:val="center"/>
            </w:pPr>
            <w:r>
              <w:drawing>
                <wp:inline distT="0" distB="0" distL="0" distR="0">
                  <wp:extent cx="762000" cy="762000"/>
                  <wp:effectExtent t="0" r="0" b="0" l="0"/>
                  <wp:docPr id="1" name="qr_video" descr="Escanee para ver el video de preparación"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762000"/>
                          </a:xfrm>
                          <a:prstGeom prst="rect">
                            <a:avLst/>
                          </a:prstGeom>
                        </pic:spPr>
                      </pic:pic>
                    </a:graphicData>
                  </a:graphic>
                </wp:inline>
              </w:drawing>
            </w:r>
          </w:p>
          <w:p>
            <w:pPr>
              <w:jc w:val="center"/>
            </w:pPr>
            <w:r>
              <w:rPr>
                <w:rFonts w:ascii="Arial" w:cs="Arial" w:eastAsia="Arial" w:hAnsi="Arial"/>
                <w:i/>
                <w:iCs/>
                <w:sz w:val="16"/>
                <w:szCs w:val="16"/>
              </w:rPr>
              <w:t xml:space="preserve">Escanee para ver el video de preparación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color="FFFFFF" w:sz="0"/>
              <w:left w:val="none" w:color="FFFFFF" w:sz="0"/>
              <w:bottom w:val="none" w:color="FFFFFF" w:sz="0"/>
              <w:right w:val="none" w:color="FFFFFF" w:sz="0"/>
            </w:tcBorders>
            <w:vAlign w:val="center"/>
          </w:tcPr>
          <w:p>
            <w:pPr>
              <w:pBdr>
                <w:bottom w:val="single" w:color="2E75B6" w:sz="2" w:space="4"/>
              </w:pBdr>
              <w:spacing w:after="100" w:before="0"/>
            </w:pPr>
            <w:r>
              <w:rPr>
                <w:rFonts w:ascii="Arial" w:cs="Arial" w:eastAsia="Arial" w:hAnsi="Arial"/>
                <w:b/>
                <w:bCs/>
                <w:color w:val="2E75B6"/>
                <w:sz w:val="28"/>
                <w:szCs w:val="28"/>
              </w:rPr>
              <w:t xml:space="preserve">¿Preguntas?</w:t>
            </w:r>
          </w:p>
          <w:p>
            <w:hyperlink w:history="1" r:id="rId3417i9rip1ykumx37zxuq">
              <w:r>
                <w:rPr>
                  <w:rStyle w:val="Hyperlink"/>
                  <w:rFonts w:ascii="Arial" w:cs="Arial" w:eastAsia="Arial" w:hAnsi="Arial"/>
                  <w:sz w:val="22"/>
                  <w:szCs w:val="22"/>
                </w:rPr>
                <w:t xml:space="preserve">Envíenos un mensaje a través del portal del paciente (método preferido)</w:t>
              </w:r>
            </w:hyperlink>
          </w:p>
          <w:p>
            <w:pPr>
              <w:spacing w:before="100"/>
            </w:pPr>
            <w:r>
              <w:rPr>
                <w:rFonts w:ascii="Arial" w:cs="Arial" w:eastAsia="Arial" w:hAnsi="Arial"/>
                <w:b/>
                <w:bCs/>
                <w:sz w:val="22"/>
                <w:szCs w:val="22"/>
              </w:rPr>
              <w:t xml:space="preserve">Para asuntos urgentes, llame al (317) 338-9450</w:t>
            </w:r>
          </w:p>
        </w:tc>
        <w:tc>
          <w:tcPr>
            <w:tcW w:type="dxa" w:w="2000"/>
            <w:tcBorders>
              <w:top w:val="none" w:color="FFFFFF" w:sz="0"/>
              <w:left w:val="none" w:color="FFFFFF" w:sz="0"/>
              <w:bottom w:val="none" w:color="FFFFFF" w:sz="0"/>
              <w:right w:val="none" w:color="FFFFFF" w:sz="0"/>
            </w:tcBorders>
          </w:tcPr>
          <w:p>
            <w:pPr>
              <w:jc w:val="center"/>
            </w:pPr>
            <w:r>
              <w:drawing>
                <wp:inline distT="0" distB="0" distL="0" distR="0">
                  <wp:extent cx="762000" cy="762000"/>
                  <wp:effectExtent t="0" r="0" b="0" l="0"/>
                  <wp:docPr id="1" name="qr_portal" descr="Escanee para el portal del paciente"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 cy="762000"/>
                          </a:xfrm>
                          <a:prstGeom prst="rect">
                            <a:avLst/>
                          </a:prstGeom>
                        </pic:spPr>
                      </pic:pic>
                    </a:graphicData>
                  </a:graphic>
                </wp:inline>
              </w:drawing>
            </w:r>
          </w:p>
          <w:p>
            <w:pPr>
              <w:jc w:val="center"/>
            </w:pPr>
            <w:r>
              <w:rPr>
                <w:rFonts w:ascii="Arial" w:cs="Arial" w:eastAsia="Arial" w:hAnsi="Arial"/>
                <w:i/>
                <w:iCs/>
                <w:sz w:val="16"/>
                <w:szCs w:val="16"/>
              </w:rPr>
              <w:t xml:space="preserve">Escanee para el portal del paciente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sz w:val="18"/>
        <w:szCs w:val="18"/>
      </w:rPr>
      <w:t xml:space="preserve">¿Preguntas? Call (317) 338-9450</w:t>
    </w:r>
    <w:r>
      <w:rPr>
        <w:rFonts w:ascii="Arial" w:cs="Arial" w:eastAsia="Arial" w:hAnsi="Arial"/>
        <w:sz w:val="18"/>
        <w:szCs w:val="18"/>
      </w:rPr>
      <w:t xml:space="preserve">	</w:t>
    </w: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bullet"/>
      <w:lvlText w:val="•"/>
      <w:lvlJc w:val="left"/>
      <w:pPr>
        <w:ind w:left="1080" w:hanging="360"/>
      </w:pPr>
    </w:lvl>
  </w:abstractNum>
  <w:abstractNum w:abstractNumId="7" w15:restartNumberingAfterBreak="0">
    <w:multiLevelType w:val="hybridMultilevel"/>
    <w:lvl w:ilvl="0"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11"/>
    <w:lvlOverride w:ilvl="0">
      <w:startOverride w:val="1"/>
    </w:lvlOverride>
  </w:num>
  <w:num w:numId="4">
    <w:abstractNumId w:val="12"/>
    <w:lvlOverride w:ilvl="0">
      <w:startOverride w:val="1"/>
    </w:lvlOverride>
  </w:num>
  <w:num w:numId="5">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f1rktk8rqoqzhwexkbnp" Type="http://schemas.openxmlformats.org/officeDocument/2006/relationships/hyperlink" Target="https://youtube.com/playlist?list=PL0SsMsgRJwXXyWBiapEnUWdjKqtAeENCl&amp;si=Arwj1l4KenD16T4f" TargetMode="External"/><Relationship Id="rIduardcpghddnqlwgv0algj" Type="http://schemas.openxmlformats.org/officeDocument/2006/relationships/hyperlink" Target="https://gikids.org/tests-procedures/colonoscopy/" TargetMode="External"/><Relationship Id="rId3417i9rip1ykumx37zxuq" Type="http://schemas.openxmlformats.org/officeDocument/2006/relationships/hyperlink" Target="https://healthcare.ascension.org/patient-portal/indiana-ascension-st-vincent" TargetMode="External"/><Relationship Id="rId8" Type="http://schemas.openxmlformats.org/officeDocument/2006/relationships/image" Target="media/47aa45401ca0e258491fc720ecf398d733281628.png"/><Relationship Id="rId9" Type="http://schemas.openxmlformats.org/officeDocument/2006/relationships/image" Target="media/2b0f7c151bd19936a60631842eb9027434de156b.png"/><Relationship Id="rId10" Type="http://schemas.openxmlformats.org/officeDocument/2006/relationships/image" Target="media/eaeffbe1a6fe913e03df010f94ddbc37b47e69e5.png"/><Relationship Id="rId11" Type="http://schemas.openxmlformats.org/officeDocument/2006/relationships/image" Target="media/44c6d24be910756039611d52c1005890915f7786.png"/><Relationship Id="rId12" Type="http://schemas.openxmlformats.org/officeDocument/2006/relationships/image" Target="media/31672129820ea3b9ab209f91d4127085702e05c6.png"/><Relationship Id="rId16" Type="http://schemas.openxmlformats.org/officeDocument/2006/relationships/fontTable" Target="fontTable.xml"/><Relationship Id="rId17" Type="http://schemas.openxmlformats.org/officeDocument/2006/relationships/image" Target="media/mobile-q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2026-04-05T16:48:52.754Z</dcterms:created>
  <dcterms:modified xsi:type="dcterms:W3CDTF">2026-04-05T16:48:52.754Z</dcterms:modified>
</cp:coreProperties>
</file>

<file path=docProps/custom.xml><?xml version="1.0" encoding="utf-8"?>
<Properties xmlns="http://schemas.openxmlformats.org/officeDocument/2006/custom-properties" xmlns:vt="http://schemas.openxmlformats.org/officeDocument/2006/docPropsVTypes"/>
</file>