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7"/>
        <w:gridCol w:w="2971"/>
        <w:gridCol w:w="2972"/>
      </w:tblGrid>
      <w:tr>
        <w:tblPrEx>
          <w:shd w:val="clear" w:color="auto" w:fill="ced7e7"/>
        </w:tblPrEx>
        <w:trPr>
          <w:trHeight w:val="1208" w:hRule="atLeast"/>
        </w:trPr>
        <w:tc>
          <w:tcPr>
            <w:tcW w:type="dxa" w:w="3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center"/>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055644" cy="608471"/>
                  <wp:effectExtent l="0" t="0" r="0" b="0"/>
                  <wp:docPr id="1073741825" name="officeArt object" descr="PMCH Logo&#10;&#10;Peyton Manning Children's Hospital"/>
                  <wp:cNvGraphicFramePr/>
                  <a:graphic xmlns:a="http://schemas.openxmlformats.org/drawingml/2006/main">
                    <a:graphicData uri="http://schemas.openxmlformats.org/drawingml/2006/picture">
                      <pic:pic xmlns:pic="http://schemas.openxmlformats.org/drawingml/2006/picture">
                        <pic:nvPicPr>
                          <pic:cNvPr id="1073741825" name="PMCH LogoPeyton Manning Children's Hospital" descr="PMCH LogoPeyton Manning Children's Hospital"/>
                          <pic:cNvPicPr>
                            <a:picLocks noChangeAspect="1"/>
                          </pic:cNvPicPr>
                        </pic:nvPicPr>
                        <pic:blipFill>
                          <a:blip r:embed="rId8">
                            <a:extLst/>
                          </a:blip>
                          <a:stretch>
                            <a:fillRect/>
                          </a:stretch>
                        </pic:blipFill>
                        <pic:spPr>
                          <a:xfrm>
                            <a:off x="0" y="0"/>
                            <a:ext cx="2055644" cy="608471"/>
                          </a:xfrm>
                          <a:prstGeom prst="rect">
                            <a:avLst/>
                          </a:prstGeom>
                          <a:ln w="12700" cap="flat">
                            <a:noFill/>
                            <a:miter lim="400000"/>
                          </a:ln>
                          <a:effectLst/>
                        </pic:spPr>
                      </pic:pic>
                    </a:graphicData>
                  </a:graphic>
                </wp:inline>
              </w:drawing>
            </w:r>
          </w:p>
        </w:tc>
        <w:tc>
          <w:tcPr>
            <w:tcW w:type="dxa" w:w="2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720"/>
                <w:tab w:val="left" w:pos="1440"/>
                <w:tab w:val="left" w:pos="2160"/>
                <w:tab w:val="left" w:pos="2880"/>
              </w:tabs>
              <w:jc w:val="center"/>
              <w:rPr>
                <w:sz w:val="32"/>
                <w:szCs w:val="32"/>
              </w:rPr>
            </w:pPr>
            <w:r>
              <w:rPr>
                <w:rFonts w:ascii="Arial" w:hAnsi="Arial"/>
                <w:b w:val="1"/>
                <w:bCs w:val="1"/>
                <w:sz w:val="32"/>
                <w:szCs w:val="32"/>
                <w:rtl w:val="0"/>
                <w:lang w:val="nl-NL"/>
              </w:rPr>
              <w:t>Pediatric Gastroenterology</w:t>
            </w:r>
          </w:p>
          <w:p>
            <w:pPr>
              <w:pStyle w:val="Body"/>
              <w:widowControl w:val="0"/>
              <w:tabs>
                <w:tab w:val="left" w:pos="720"/>
                <w:tab w:val="left" w:pos="1440"/>
                <w:tab w:val="left" w:pos="2160"/>
                <w:tab w:val="left" w:pos="2880"/>
              </w:tabs>
              <w:jc w:val="center"/>
            </w:pPr>
            <w:r>
              <w:rPr>
                <w:rFonts w:ascii="Arial" w:hAnsi="Arial"/>
                <w:sz w:val="24"/>
                <w:szCs w:val="24"/>
                <w:rtl w:val="0"/>
              </w:rPr>
              <w:t>(317) 338-9450</w:t>
            </w:r>
          </w:p>
        </w:tc>
        <w:tc>
          <w:tcPr>
            <w:tcW w:type="dxa" w:w="29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center"/>
              <w:rPr>
                <w:rtl w:val="0"/>
              </w:rPr>
            </w:pPr>
            <w:r>
              <w:rPr>
                <w:rFonts w:ascii="Times New Roman" w:hAnsi="Times New Roman"/>
                <w:sz w:val="20"/>
                <w:szCs w:val="20"/>
                <w:rtl w:val="0"/>
                <w:lang w:val="en-US"/>
              </w:rPr>
              <w:t xml:space="preserve">  </w:t>
            </w: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1238250" cy="733425"/>
                  <wp:effectExtent l="0" t="0" r="0" b="0"/>
                  <wp:docPr id="1073741826" name="officeArt object" descr="CSV Logo&#10;&#10;Children's Surgery Verification"/>
                  <wp:cNvGraphicFramePr/>
                  <a:graphic xmlns:a="http://schemas.openxmlformats.org/drawingml/2006/main">
                    <a:graphicData uri="http://schemas.openxmlformats.org/drawingml/2006/picture">
                      <pic:pic xmlns:pic="http://schemas.openxmlformats.org/drawingml/2006/picture">
                        <pic:nvPicPr>
                          <pic:cNvPr id="1073741826" name="CSV LogoChildren's Surgery Verification" descr="CSV LogoChildren's Surgery Verification"/>
                          <pic:cNvPicPr>
                            <a:picLocks noChangeAspect="1"/>
                          </pic:cNvPicPr>
                        </pic:nvPicPr>
                        <pic:blipFill>
                          <a:blip r:embed="rId9">
                            <a:extLst/>
                          </a:blip>
                          <a:stretch>
                            <a:fillRect/>
                          </a:stretch>
                        </pic:blipFill>
                        <pic:spPr>
                          <a:xfrm>
                            <a:off x="0" y="0"/>
                            <a:ext cx="1238250" cy="733425"/>
                          </a:xfrm>
                          <a:prstGeom prst="rect">
                            <a:avLst/>
                          </a:prstGeom>
                          <a:ln w="12700" cap="flat">
                            <a:noFill/>
                            <a:miter lim="400000"/>
                          </a:ln>
                          <a:effectLst/>
                        </pic:spPr>
                      </pic:pic>
                    </a:graphicData>
                  </a:graphic>
                </wp:inline>
              </w:drawing>
            </w:r>
          </w:p>
        </w:tc>
      </w:tr>
    </w:tbl>
    <w:tbl>
      <w:tblPr>
        <w:tblW w:w="9340" w:type="dxa"/>
        <w:jc w:val="left"/>
        <w:tblBorders>
          <w:top w:val="nil"/>
          <w:left w:val="nil"/>
          <w:bottom w:val="nil"/>
          <w:right w:val="nil"/>
          <w:insideH w:val="nil"/>
          <w:insideV w:val="nil"/>
        </w:tblBorders>
      </w:tblPr>
      <w:tblGrid>
        <w:gridCol w:w="5500"/>
        <w:gridCol w:w="2500"/>
        <w:gridCol w:w="1340"/>
      </w:tblGrid>
      <w:tr>
        <w:trPr/>
        <w:tc>
          <w:tcPr>
            <w:tcW w:type="dxa" w:w="5500"/>
            <w:tcBorders>
              <w:top w:val="nil"/>
              <w:left w:val="nil"/>
              <w:bottom w:val="nil"/>
              <w:right w:val="nil"/>
            </w:tcBorders>
            <w:tcMar>
              <w:top w:type="dxa" w:w="0"/>
              <w:left w:type="dxa" w:w="40"/>
              <w:bottom w:type="dxa" w:w="0"/>
              <w:right w:type="dxa" w:w="0"/>
            </w:tcMar>
            <w:vAlign w:val="center"/>
          </w:tcPr>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sz w:val="32"/>
                <w:szCs w:val="32"/>
                <w:rtl w:val="0"/>
                <w:lang w:val="en-US"/>
              </w:rPr>
              <w:t>Colonoscopy Bowel Prep</w:t>
            </w:r>
          </w:p>
        </w:tc>
        <w:tc>
          <w:tcPr>
            <w:tcW w:type="dxa" w:w="2500"/>
            <w:tcBorders>
              <w:top w:val="nil"/>
              <w:left w:val="nil"/>
              <w:bottom w:val="nil"/>
              <w:right w:val="nil"/>
            </w:tcBorders>
            <w:tcMar>
              <w:top w:type="dxa" w:w="0"/>
              <w:left w:type="dxa" w:w="40"/>
              <w:bottom w:type="dxa" w:w="0"/>
              <w:right w:type="dxa" w:w="0"/>
            </w:tcMar>
            <w:vAlign w:val="center"/>
          </w:tcPr>
          <w:p>
            <w:pPr>
              <w:pStyle w:val="Default"/>
              <w:spacing w:before="0" w:after="0"/>
              <w:jc w:val="right"/>
            </w:pPr>
            <w:r>
              <w:rPr>
                <w:rFonts w:ascii="Arial" w:hAnsi="Arial"/>
                <w:i w:val="1"/>
                <w:color w:val="666666"/>
                <w:sz w:val="12"/>
                <w:szCs w:val="12"/>
              </w:rPr>
              <w:t>Scan for</w:t>
              <w:br/>
              <w:t>mobile-friendly</w:t>
              <w:br/>
              <w:t>instructions</w:t>
            </w:r>
          </w:p>
        </w:tc>
        <w:tc>
          <w:tcPr>
            <w:tcW w:type="dxa" w:w="1340"/>
            <w:tcBorders>
              <w:top w:val="nil"/>
              <w:left w:val="nil"/>
              <w:bottom w:val="nil"/>
              <w:right w:val="nil"/>
            </w:tcBorders>
            <w:tcMar>
              <w:top w:type="dxa" w:w="0"/>
              <w:left w:type="dxa" w:w="40"/>
              <w:bottom w:type="dxa" w:w="0"/>
              <w:right w:type="dxa" w:w="0"/>
            </w:tcMar>
            <w:vAlign w:val="center"/>
          </w:tcPr>
          <w:p>
            <w:pPr>
              <w:pStyle w:val="Default"/>
              <w:spacing w:before="0" w:after="0"/>
              <w:jc w:val="left"/>
            </w:pPr>
            <w:r>
              <w:rPr/>
              <w:drawing>
                <wp:inline distT="0" distB="0" distL="0" distR="0">
                  <wp:extent cx="362000" cy="362000"/>
                  <wp:effectExtent l="0" t="0" r="0" b="0"/>
                  <wp:docPr id="999" name="Mobi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MobileQR"/>
                          <pic:cNvPicPr/>
                        </pic:nvPicPr>
                        <pic:blipFill>
                          <a:blip r:embed="rId17"/>
                          <a:stretch>
                            <a:fillRect/>
                          </a:stretch>
                        </pic:blipFill>
                        <pic:spPr>
                          <a:xfrm>
                            <a:off x="0" y="0"/>
                            <a:ext cx="362000" cy="362000"/>
                          </a:xfrm>
                          <a:prstGeom prst="rect">
                            <a:avLst/>
                          </a:prstGeom>
                        </pic:spPr>
                      </pic:pic>
                    </a:graphicData>
                  </a:graphic>
                </wp:inline>
              </w:drawing>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b w:val="1"/>
          <w:bCs w:val="1"/>
          <w:outline w:val="0"/>
          <w:color w:val="2e75b6"/>
          <w:sz w:val="24"/>
          <w:szCs w:val="24"/>
          <w:u w:color="2e75b6"/>
          <w:rtl w:val="0"/>
          <w:lang w:val="en-US"/>
          <w14:textFill>
            <w14:solidFill>
              <w14:srgbClr w14:val="2E75B6"/>
            </w14:solidFill>
          </w14:textFill>
        </w:rPr>
        <w:t>{{DOCX_HEADING}}</w:t>
      </w:r>
    </w:p>
    <w:p>
      <w:pPr>
        <w:pStyle w:val="Default"/>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360"/>
        <w:gridCol w:w="2000"/>
      </w:tblGrid>
      <w:tr>
        <w:tblPrEx>
          <w:shd w:val="clear" w:color="auto" w:fill="ced7e7"/>
        </w:tblPrEx>
        <w:trPr>
          <w:trHeight w:val="1556" w:hRule="atLeast"/>
        </w:trPr>
        <w:tc>
          <w:tcPr>
            <w:tcW w:type="dxa" w:w="7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b w:val="1"/>
                <w:bCs w:val="1"/>
                <w:sz w:val="24"/>
                <w:szCs w:val="24"/>
                <w:rtl w:val="0"/>
                <w:lang w:val="en-US"/>
              </w:rPr>
              <w:t>Procedure Location: {{LOCATION_NAME}}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rtl w:val="0"/>
                <w:lang w:val="en-US"/>
              </w:rPr>
              <w:t xml:space="preserve">{{LOCATION_ADDRESS}}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rtl w:val="0"/>
                <w:lang w:val="en-US"/>
              </w:rPr>
              <w:t>{{LOCATION_PHONE_LABEL}}: {{LOCATION_PHONE}}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s>
            </w:pPr>
            <w:r>
              <w:rPr>
                <w:rFonts w:ascii="Arial" w:hAnsi="Arial"/>
                <w:b w:val="1"/>
                <w:bCs w:val="1"/>
                <w:outline w:val="0"/>
                <w:color w:val="d9534f"/>
                <w:u w:color="d9534f"/>
                <w:rtl w:val="0"/>
                <w:lang w:val="en-US"/>
                <w14:textFill>
                  <w14:solidFill>
                    <w14:srgbClr w14:val="D9534F"/>
                  </w14:solidFill>
                </w14:textFill>
              </w:rPr>
              <w:t>{{LOCATION_ARRIVAL}}</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Fonts w:ascii="Times New Roman" w:cs="Times New Roman" w:hAnsi="Times New Roman" w:eastAsia="Times New Roman"/>
                <w:sz w:val="20"/>
                <w:szCs w:val="20"/>
                <w:rtl w:val="0"/>
              </w:rPr>
            </w:pPr>
            <w:r>
              <w:rPr>
                <w:rFonts w:ascii="Times New Roman" w:cs="Times New Roman" w:hAnsi="Times New Roman" w:eastAsia="Times New Roman"/>
                <w:sz w:val="20"/>
                <w:szCs w:val="20"/>
                <w:rtl w:val="0"/>
              </w:rPr>
              <w:drawing xmlns:a="http://schemas.openxmlformats.org/drawingml/2006/main">
                <wp:inline distT="0" distB="0" distL="0" distR="0">
                  <wp:extent cx="571500" cy="571500"/>
                  <wp:effectExtent l="0" t="0" r="0" b="0"/>
                  <wp:docPr id="1073741827" name="officeArt object" descr="QR&#10;&#10;Scan for directions"/>
                  <wp:cNvGraphicFramePr/>
                  <a:graphic xmlns:a="http://schemas.openxmlformats.org/drawingml/2006/main">
                    <a:graphicData uri="http://schemas.openxmlformats.org/drawingml/2006/picture">
                      <pic:pic xmlns:pic="http://schemas.openxmlformats.org/drawingml/2006/picture">
                        <pic:nvPicPr>
                          <pic:cNvPr id="1073741827" name="QRScan for directions" descr="QRScan for directions"/>
                          <pic:cNvPicPr>
                            <a:picLocks noChangeAspect="1"/>
                          </pic:cNvPicPr>
                        </pic:nvPicPr>
                        <pic:blipFill>
                          <a:blip r:embed="rId10">
                            <a:extLst/>
                          </a:blip>
                          <a:stretch>
                            <a:fillRect/>
                          </a:stretch>
                        </pic:blipFill>
                        <pic:spPr>
                          <a:xfrm>
                            <a:off x="0" y="0"/>
                            <a:ext cx="571500" cy="571500"/>
                          </a:xfrm>
                          <a:prstGeom prst="rect">
                            <a:avLst/>
                          </a:prstGeom>
                          <a:ln w="12700" cap="flat">
                            <a:noFill/>
                            <a:miter lim="400000"/>
                          </a:ln>
                          <a:effectLst/>
                        </pic:spPr>
                      </pic:pic>
                    </a:graphicData>
                  </a:graphic>
                </wp:inline>
              </w:drawing>
            </w:r>
          </w:p>
          <w:p>
            <w:pPr>
              <w:pStyle w:val="Default"/>
              <w:tabs>
                <w:tab w:val="left" w:pos="720"/>
                <w:tab w:val="left" w:pos="1440"/>
              </w:tabs>
              <w:bidi w:val="0"/>
              <w:ind w:left="0" w:right="0" w:firstLine="0"/>
              <w:jc w:val="left"/>
              <w:rPr>
                <w:rtl w:val="0"/>
              </w:rPr>
            </w:pPr>
            <w:r>
              <w:rPr>
                <w:rFonts w:ascii="Arial" w:hAnsi="Arial"/>
                <w:i w:val="1"/>
                <w:iCs w:val="1"/>
                <w:sz w:val="16"/>
                <w:szCs w:val="16"/>
                <w:u w:color="000000"/>
                <w:shd w:val="nil" w:color="auto" w:fill="auto"/>
                <w:rtl w:val="0"/>
                <w:lang w:val="en-US"/>
              </w:rPr>
              <w:t xml:space="preserve">Scan </w:t>
            </w:r>
            <w:r>
              <w:rPr>
                <w:rFonts w:ascii="Arial" w:hAnsi="Arial"/>
                <w:i w:val="1"/>
                <w:iCs w:val="1"/>
                <w:sz w:val="16"/>
                <w:szCs w:val="16"/>
                <w:u w:color="000000"/>
                <w:shd w:val="nil" w:color="auto" w:fill="auto"/>
                <w:rtl w:val="0"/>
                <w:lang w:val="en-US"/>
              </w:rPr>
              <w:t>for Google Maps directions</w:t>
            </w:r>
          </w:p>
        </w:tc>
      </w:tr>
    </w:tbl>
    <w:p>
      <w:pPr>
        <w:pStyle w:val="List Paragraph"/>
        <w:jc w:val="center"/>
      </w:pPr>
      <w:r>
        <w:rPr>
          <w:rFonts w:ascii="Arial" w:hAnsi="Arial"/>
          <w:b w:val="1"/>
          <w:bCs w:val="1"/>
          <w:color w:val="2e75b6"/>
          <w:sz w:val="24"/>
          <w:szCs w:val="24"/>
          <w:lang w:val="en-US"/>
        </w:rPr>
        <w:t>MiraLAX Prep Option</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Plan Ahead (pick up from the pharmacy)</w:t>
      </w:r>
    </w:p>
    <w:p>
      <w:pPr>
        <w:pStyle w:val="Default"/>
      </w:pPr>
      <w:r>
        <w:rPr>
          <w:rFonts w:ascii="Arial" w:hAnsi="Arial"/>
          <w:sz w:val="24"/>
          <w:szCs w:val="24"/>
          <w:lang w:val="en-US"/>
        </w:rPr>
        <w:t xml:space="preserve">•  MiraLAX® (polyethylene glycol 3350) — only a small amount needed, see dose table below</w:t>
      </w:r>
    </w:p>
    <w:p>
      <w:pPr>
        <w:pStyle w:val="Default"/>
      </w:pPr>
      <w:r>
        <w:rPr>
          <w:rFonts w:ascii="Arial" w:hAnsi="Arial"/>
          <w:sz w:val="24"/>
          <w:szCs w:val="24"/>
          <w:lang w:val="en-US"/>
        </w:rPr>
        <w:t xml:space="preserve">•  Pedialyte® or clear apple juice (for mixing the MiraLAX)</w:t>
      </w:r>
    </w:p>
    <w:p>
      <w:pPr>
        <w:pStyle w:val="Default"/>
      </w:pPr>
      <w:r>
        <w:rPr>
          <w:rFonts w:ascii="Arial" w:hAnsi="Arial"/>
          <w:sz w:val="24"/>
          <w:szCs w:val="24"/>
          <w:lang w:val="en-US"/>
        </w:rPr>
        <w:t xml:space="preserve">•  Protective ointment (A&amp;D, Desitin®, or Vaseline®) for the diaper area</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MiraLAX Dose by Weight</w:t>
      </w:r>
    </w:p>
    <w:tbl>
      <w:tblPr>
        <w:tblW w:w="934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2900"/>
        <w:gridCol w:w="2700"/>
        <w:gridCol w:w="3740"/>
      </w:tblGrid>
      <w:tr>
        <w:trPr>
          <w:cantSplit/>
        </w:trPr>
        <w:tc>
          <w:tcPr>
            <w:tcW w:type="dxa" w:w="290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b w:val="1"/>
                <w:bCs w:val="1"/>
                <w:sz w:val="24"/>
                <w:szCs w:val="24"/>
                <w:rtl w:val="0"/>
                <w:lang w:val="en-US"/>
              </w:rPr>
              <w:t xml:space="preserve">Your Child's Weight</w:t>
            </w:r>
          </w:p>
        </w:tc>
        <w:tc>
          <w:tcPr>
            <w:tcW w:type="dxa" w:w="270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b w:val="1"/>
                <w:bCs w:val="1"/>
                <w:sz w:val="24"/>
                <w:szCs w:val="24"/>
                <w:rtl w:val="0"/>
                <w:lang w:val="en-US"/>
              </w:rPr>
              <w:t xml:space="preserve">MiraLAX Dose</w:t>
            </w:r>
          </w:p>
        </w:tc>
        <w:tc>
          <w:tcPr>
            <w:tcW w:type="dxa" w:w="374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b w:val="1"/>
                <w:bCs w:val="1"/>
                <w:sz w:val="24"/>
                <w:szCs w:val="24"/>
                <w:rtl w:val="0"/>
                <w:lang w:val="en-US"/>
              </w:rPr>
              <w:t xml:space="preserve">How to Give</w:t>
            </w:r>
          </w:p>
        </w:tc>
      </w:tr>
      <w:tr>
        <w:trPr>
          <w:cantSplit/>
        </w:trPr>
        <w:tc>
          <w:tcPr>
            <w:tcW w:type="dxa" w:w="290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sz w:val="24"/>
                <w:szCs w:val="24"/>
                <w:rtl w:val="0"/>
                <w:lang w:val="en-US"/>
              </w:rPr>
              <w:t xml:space="preserve">Under 5 kg (under 11 lb)</w:t>
            </w:r>
          </w:p>
        </w:tc>
        <w:tc>
          <w:tcPr>
            <w:tcW w:type="dxa" w:w="270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sz w:val="24"/>
                <w:szCs w:val="24"/>
                <w:rtl w:val="0"/>
                <w:lang w:val="en-US"/>
              </w:rPr>
              <w:t xml:space="preserve">¼ capful (about 4 g)</w:t>
            </w:r>
          </w:p>
        </w:tc>
        <w:tc>
          <w:tcPr>
            <w:tcW w:type="dxa" w:w="374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sz w:val="24"/>
                <w:szCs w:val="24"/>
                <w:rtl w:val="0"/>
                <w:lang w:val="en-US"/>
              </w:rPr>
              <w:t xml:space="preserve">Mix into 2–4 oz of Pedialyte or clear apple juice</w:t>
            </w:r>
          </w:p>
        </w:tc>
      </w:tr>
      <w:tr>
        <w:trPr>
          <w:cantSplit/>
        </w:trPr>
        <w:tc>
          <w:tcPr>
            <w:tcW w:type="dxa" w:w="290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sz w:val="24"/>
                <w:szCs w:val="24"/>
                <w:rtl w:val="0"/>
                <w:lang w:val="en-US"/>
              </w:rPr>
              <w:t xml:space="preserve">5–9 kg (11–20 lb)</w:t>
            </w:r>
          </w:p>
        </w:tc>
        <w:tc>
          <w:tcPr>
            <w:tcW w:type="dxa" w:w="270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sz w:val="24"/>
                <w:szCs w:val="24"/>
                <w:rtl w:val="0"/>
                <w:lang w:val="en-US"/>
              </w:rPr>
              <w:t xml:space="preserve">½ capful (about 8.5 g)</w:t>
            </w:r>
          </w:p>
        </w:tc>
        <w:tc>
          <w:tcPr>
            <w:tcW w:type="dxa" w:w="374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sz w:val="24"/>
                <w:szCs w:val="24"/>
                <w:rtl w:val="0"/>
                <w:lang w:val="en-US"/>
              </w:rPr>
              <w:t xml:space="preserve">Mix into 4–6 oz of Pedialyte or clear apple juice</w:t>
            </w:r>
          </w:p>
        </w:tc>
      </w:tr>
      <w:tr>
        <w:trPr>
          <w:cantSplit/>
        </w:trPr>
        <w:tc>
          <w:tcPr>
            <w:tcW w:type="dxa" w:w="290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sz w:val="24"/>
                <w:szCs w:val="24"/>
                <w:rtl w:val="0"/>
                <w:lang w:val="en-US"/>
              </w:rPr>
              <w:t xml:space="preserve">10–15 kg (22–33 lb)</w:t>
            </w:r>
          </w:p>
        </w:tc>
        <w:tc>
          <w:tcPr>
            <w:tcW w:type="dxa" w:w="270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sz w:val="24"/>
                <w:szCs w:val="24"/>
                <w:rtl w:val="0"/>
                <w:lang w:val="en-US"/>
              </w:rPr>
              <w:t xml:space="preserve">¾ capful (about 13 g)</w:t>
            </w:r>
          </w:p>
        </w:tc>
        <w:tc>
          <w:tcPr>
            <w:tcW w:type="dxa" w:w="3740"/>
            <w:tcBorders>
              <w:top w:val="single" w:color="000000" w:sz="8" w:space="0"/>
              <w:left w:val="single" w:color="000000" w:sz="8" w:space="0"/>
              <w:bottom w:val="single" w:color="000000" w:sz="8" w:space="0"/>
              <w:right w:val="single" w:color="000000" w:sz="8" w:space="0"/>
            </w:tcBorders>
            <w:tcMar>
              <w:top w:type="dxa" w:w="60"/>
              <w:left w:type="dxa" w:w="80"/>
              <w:bottom w:type="dxa" w:w="60"/>
              <w:right w:type="dxa" w:w="80"/>
            </w:tcMar>
            <w:vAlign w:val="top"/>
          </w:tcPr>
          <w:p>
            <w:pPr>
              <w:pStyle w:val="Default"/>
            </w:pPr>
            <w:r>
              <w:rPr>
                <w:rFonts w:ascii="Arial" w:hAnsi="Arial"/>
                <w:sz w:val="24"/>
                <w:szCs w:val="24"/>
                <w:rtl w:val="0"/>
                <w:lang w:val="en-US"/>
              </w:rPr>
              <w:t xml:space="preserve">Mix into 6–8 oz of Pedialyte or clear apple juice</w:t>
            </w:r>
          </w:p>
        </w:tc>
      </w:tr>
    </w:tbl>
    <w:p>
      <w:pPr>
        <w:pStyle w:val="Default"/>
      </w:pPr>
      <w:r>
        <w:rPr>
          <w:rFonts w:ascii="Arial" w:hAnsi="Arial"/>
          <w:sz w:val="24"/>
          <w:szCs w:val="24"/>
          <w:rtl w:val="0"/>
          <w:lang w:val="en-US"/>
        </w:rPr>
        <w:t xml:space="preserve">Give the dose listed above once daily on each prep day as described below. If your child has trouble drinking it all at once, offer it in small sips over 1–2 hours.</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3 Days and 2 Days Before the Procedure</w:t>
      </w:r>
    </w:p>
    <w:p>
      <w:pPr>
        <w:pStyle w:val="Default"/>
      </w:pPr>
      <w:r>
        <w:rPr>
          <w:rFonts w:ascii="Arial" w:hAnsi="Arial"/>
          <w:sz w:val="24"/>
          <w:szCs w:val="24"/>
          <w:lang w:val="en-US"/>
        </w:rPr>
        <w:t xml:space="preserve">•  Continue your child's normal diet</w:t>
      </w:r>
    </w:p>
    <w:p>
      <w:pPr>
        <w:pStyle w:val="Default"/>
      </w:pPr>
      <w:r>
        <w:rPr>
          <w:rFonts w:ascii="Arial" w:hAnsi="Arial"/>
          <w:sz w:val="24"/>
          <w:szCs w:val="24"/>
          <w:lang w:val="en-US"/>
        </w:rPr>
        <w:t xml:space="preserve">•  Give one MiraLAX dose per day, mixed into juice or Pedialyte (see dose table above)</w:t>
      </w:r>
    </w:p>
    <w:p>
      <w:r>
        <w:br w:type="page"/>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Day Before the Procedure</w:t>
      </w:r>
    </w:p>
    <w:tbl>
      <w:tblPr>
        <w:tblW w:w="934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670"/>
        <w:gridCol w:w="4670"/>
      </w:tblGrid>
      <w:tr>
        <w:trPr>
          <w:cantSplit/>
        </w:trPr>
        <w:tc>
          <w:tcPr>
            <w:tcW w:type="dxa" w:w="9340"/>
            <w:gridSpan w:val="2"/>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List Paragraph"/>
              <w:jc w:val="center"/>
            </w:pPr>
            <w:r>
              <w:rPr>
                <w:rFonts w:ascii="Arial" w:hAnsi="Arial"/>
                <w:b w:val="1"/>
                <w:bCs w:val="1"/>
                <w:color w:val="2e75b6"/>
                <w:sz w:val="22"/>
                <w:szCs w:val="22"/>
              </w:rPr>
              <w:t>Low-Residue Foods — until 6:00 PM</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List Paragraph"/>
            </w:pPr>
            <w:r>
              <w:rPr>
                <w:rFonts w:ascii="Arial" w:hAnsi="Arial"/>
                <w:b w:val="1"/>
                <w:bCs w:val="1"/>
                <w:color w:val="d9534f"/>
                <w:sz w:val="24"/>
                <w:szCs w:val="24"/>
              </w:rPr>
              <w:t>AVOID:</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List Paragraph"/>
            </w:pPr>
            <w:r>
              <w:rPr>
                <w:rFonts w:ascii="Arial" w:hAnsi="Arial"/>
                <w:b w:val="1"/>
                <w:bCs w:val="1"/>
                <w:color w:val="4caf50"/>
                <w:sz w:val="24"/>
                <w:szCs w:val="24"/>
              </w:rPr>
              <w:t>OK TO EAT:</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Baby cereal with whole grains, oats, or added fiber</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Plain white rice or white rice cereal</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Raw or dried fruits and vegetables</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Plain pasta (no chunky sauce)</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Beans, peas, lentils</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White bread or crackers</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Nuts, seeds, popcorn</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Strained baby foods (no skins/seeds/chunks)</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Chunky table foods, meats with gristle</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Plain yogurt (no fruit pieces or granola)</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Scrambled eggs</w:t>
            </w:r>
          </w:p>
        </w:tc>
      </w:tr>
    </w:tbl>
    <w:p>
      <w:pPr>
        <w:pStyle w:val="Default"/>
      </w:pPr>
      <w:r>
        <w:rPr>
          <w:rFonts w:ascii="Arial" w:hAnsi="Arial"/>
          <w:sz w:val="24"/>
          <w:szCs w:val="24"/>
          <w:lang w:val="en-US"/>
        </w:rPr>
        <w:t xml:space="preserve"/>
      </w:r>
    </w:p>
    <w:tbl>
      <w:tblPr>
        <w:tblW w:w="934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4670"/>
        <w:gridCol w:w="4670"/>
      </w:tblGrid>
      <w:tr>
        <w:trPr>
          <w:cantSplit/>
        </w:trPr>
        <w:tc>
          <w:tcPr>
            <w:tcW w:type="dxa" w:w="9340"/>
            <w:gridSpan w:val="2"/>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List Paragraph"/>
              <w:jc w:val="center"/>
            </w:pPr>
            <w:r>
              <w:rPr>
                <w:rFonts w:ascii="Arial" w:hAnsi="Arial"/>
                <w:b w:val="1"/>
                <w:bCs w:val="1"/>
                <w:color w:val="2e75b6"/>
                <w:sz w:val="22"/>
                <w:szCs w:val="22"/>
              </w:rPr>
              <w:t>Liquids — with these specific cutoffs</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List Paragraph"/>
            </w:pPr>
            <w:r>
              <w:rPr>
                <w:rFonts w:ascii="Arial" w:hAnsi="Arial"/>
                <w:b w:val="1"/>
                <w:bCs w:val="1"/>
                <w:color w:val="d9534f"/>
                <w:sz w:val="24"/>
                <w:szCs w:val="24"/>
              </w:rPr>
              <w:t>AVOID:</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List Paragraph"/>
            </w:pPr>
            <w:r>
              <w:rPr>
                <w:rFonts w:ascii="Arial" w:hAnsi="Arial"/>
                <w:b w:val="1"/>
                <w:bCs w:val="1"/>
                <w:color w:val="4caf50"/>
                <w:sz w:val="24"/>
                <w:szCs w:val="24"/>
              </w:rPr>
              <w:t>OK TO DRINK:</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Solid foods after 6:00 PM</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Formula (until 10:00 PM)</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Formula after 10:00 PM</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Breast milk (until 2:00 AM day of procedure)</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Breast milk after 2:00 AM (day of procedure)</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Pedialyte®</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Anything red or purple (looks like blood)</w:t>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Clear apple juice (no pulp)</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Water</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Clear broth (chicken or vegetable, strained)</w:t>
            </w:r>
          </w:p>
        </w:tc>
      </w:tr>
      <w:tr>
        <w:trPr>
          <w:cantSplit/>
        </w:trPr>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
            </w:r>
          </w:p>
        </w:tc>
        <w:tc>
          <w:tcPr>
            <w:tcW w:type="dxa" w:w="467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4"/>
                <w:szCs w:val="24"/>
                <w:lang w:val="en-US"/>
              </w:rPr>
              <w:t xml:space="preserve">Popsicles or plain gelatin (no red/purple)</w:t>
            </w:r>
          </w:p>
        </w:tc>
      </w:tr>
    </w:tbl>
    <w:p>
      <w:pPr>
        <w:pStyle w:val="Default"/>
      </w:pPr>
      <w:r>
        <w:rPr>
          <w:rFonts w:ascii="Arial" w:hAnsi="Arial"/>
          <w:sz w:val="24"/>
          <w:szCs w:val="24"/>
          <w:lang w:val="en-US"/>
        </w:rPr>
        <w:t xml:space="preserve"/>
      </w:r>
    </w:p>
    <w:p>
      <w:pPr>
        <w:pStyle w:val="Default"/>
      </w:pPr>
      <w:r>
        <w:rPr>
          <w:rFonts w:ascii="Arial" w:hAnsi="Arial"/>
          <w:sz w:val="24"/>
          <w:szCs w:val="24"/>
          <w:lang w:val="en-US"/>
        </w:rPr>
        <w:t xml:space="preserve">Apply protective ointment to the diaper area.</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Fasting Rules — Day of Procedure</w:t>
      </w:r>
    </w:p>
    <w:p>
      <w:pPr>
        <w:pStyle w:val="Default"/>
      </w:pPr>
      <w:r>
        <w:rPr>
          <w:rFonts w:ascii="Arial" w:hAnsi="Arial"/>
          <w:sz w:val="24"/>
          <w:szCs w:val="24"/>
          <w:lang w:val="en-US"/>
        </w:rPr>
        <w:t xml:space="preserve">These times are counted backward from your child's scheduled procedure time:</w:t>
      </w:r>
    </w:p>
    <w:tbl>
      <w:tblPr>
        <w:tblW w:w="934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Grid>
        <w:gridCol w:w="5500"/>
        <w:gridCol w:w="3840"/>
      </w:tblGrid>
      <w:tr>
        <w:trPr>
          <w:cantSplit/>
        </w:trPr>
        <w:tc>
          <w:tcPr>
            <w:tcW w:type="dxa" w:w="550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b w:val="1"/>
                <w:bCs w:val="1"/>
                <w:sz w:val="24"/>
                <w:szCs w:val="24"/>
                <w:lang w:val="en-US"/>
              </w:rPr>
              <w:t xml:space="preserve">What</w:t>
            </w:r>
          </w:p>
        </w:tc>
        <w:tc>
          <w:tcPr>
            <w:tcW w:type="dxa" w:w="384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b w:val="1"/>
                <w:bCs w:val="1"/>
                <w:sz w:val="24"/>
                <w:szCs w:val="24"/>
                <w:lang w:val="en-US"/>
              </w:rPr>
              <w:t xml:space="preserve">When to Stop</w:t>
            </w:r>
          </w:p>
        </w:tc>
      </w:tr>
      <w:tr>
        <w:trPr>
          <w:cantSplit/>
        </w:trPr>
        <w:tc>
          <w:tcPr>
            <w:tcW w:type="dxa" w:w="550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All solid and low-residue foods</w:t>
            </w:r>
          </w:p>
        </w:tc>
        <w:tc>
          <w:tcPr>
            <w:tcW w:type="dxa" w:w="384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6:00 PM the day before</w:t>
            </w:r>
          </w:p>
        </w:tc>
      </w:tr>
      <w:tr>
        <w:trPr>
          <w:cantSplit/>
        </w:trPr>
        <w:tc>
          <w:tcPr>
            <w:tcW w:type="dxa" w:w="550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Formula</w:t>
            </w:r>
          </w:p>
        </w:tc>
        <w:tc>
          <w:tcPr>
            <w:tcW w:type="dxa" w:w="384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10:00 PM the day before</w:t>
            </w:r>
          </w:p>
        </w:tc>
      </w:tr>
      <w:tr>
        <w:trPr>
          <w:cantSplit/>
        </w:trPr>
        <w:tc>
          <w:tcPr>
            <w:tcW w:type="dxa" w:w="550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Breast milk</w:t>
            </w:r>
          </w:p>
        </w:tc>
        <w:tc>
          <w:tcPr>
            <w:tcW w:type="dxa" w:w="384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2:00 AM the day of procedure</w:t>
            </w:r>
          </w:p>
        </w:tc>
      </w:tr>
      <w:tr>
        <w:trPr>
          <w:cantSplit/>
        </w:trPr>
        <w:tc>
          <w:tcPr>
            <w:tcW w:type="dxa" w:w="550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Clear liquids (Pedialyte, water, clear juice)</w:t>
            </w:r>
          </w:p>
        </w:tc>
        <w:tc>
          <w:tcPr>
            <w:tcW w:type="dxa" w:w="3840"/>
            <w:tcBorders>
              <w:top w:val="single" w:color="000000" w:sz="8" w:space="0"/>
              <w:left w:val="single" w:color="000000" w:sz="8" w:space="0"/>
              <w:bottom w:val="single" w:color="000000" w:sz="8" w:space="0"/>
              <w:right w:val="single" w:color="000000" w:sz="8" w:space="0"/>
            </w:tcBorders>
            <w:shd w:val="clear" w:color="auto" w:fill="auto"/>
            <w:tcMar>
              <w:top w:type="dxa" w:w="60"/>
              <w:left w:type="dxa" w:w="80"/>
              <w:bottom w:type="dxa" w:w="60"/>
              <w:right w:type="dxa" w:w="80"/>
            </w:tcMar>
            <w:vAlign w:val="top"/>
          </w:tcPr>
          <w:p>
            <w:pPr>
              <w:pStyle w:val="Default"/>
            </w:pPr>
            <w:r>
              <w:rPr>
                <w:rFonts w:ascii="Arial" w:hAnsi="Arial"/>
                <w:sz w:val="22"/>
                <w:szCs w:val="22"/>
                <w:lang w:val="en-US"/>
              </w:rPr>
              <w:t xml:space="preserve">2 hours before procedure time</w:t>
            </w:r>
          </w:p>
        </w:tc>
      </w:tr>
    </w:tbl>
    <w:p>
      <w:pPr>
        <w:pStyle w:val="Default"/>
      </w:pPr>
      <w:r>
        <w:rPr>
          <w:rFonts w:ascii="Arial" w:hAnsi="Arial"/>
          <w:b w:val="1"/>
          <w:bCs w:val="1"/>
          <w:sz w:val="24"/>
          <w:szCs w:val="24"/>
          <w:lang w:val="en-US"/>
        </w:rPr>
        <w:t xml:space="preserve">After the clear liquid cutoff, no food or drink. This keeps your child safe during anesthesia.</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When to Call the Doctor</w:t>
      </w:r>
    </w:p>
    <w:p>
      <w:pPr>
        <w:pStyle w:val="Default"/>
      </w:pPr>
      <w:r>
        <w:rPr>
          <w:rFonts w:ascii="Arial" w:hAnsi="Arial"/>
          <w:sz w:val="24"/>
          <w:szCs w:val="24"/>
          <w:rtl w:val="0"/>
          <w:lang w:val="en-US"/>
        </w:rPr>
        <w:t xml:space="preserve">•  Your child won't drink, or has dehydration signs: no tears, dry mouth, or no wet diapers for 6+ hours</w:t>
      </w:r>
    </w:p>
    <w:p>
      <w:pPr>
        <w:pStyle w:val="Default"/>
      </w:pPr>
      <w:r>
        <w:rPr>
          <w:rFonts w:ascii="Arial" w:hAnsi="Arial"/>
          <w:sz w:val="24"/>
          <w:szCs w:val="24"/>
          <w:rtl w:val="0"/>
          <w:lang w:val="en-US"/>
        </w:rPr>
        <w:t xml:space="preserve">•  Vomiting that prevents your child from keeping liquids down</w:t>
      </w:r>
    </w:p>
    <w:p>
      <w:pPr>
        <w:pStyle w:val="Default"/>
      </w:pPr>
      <w:r>
        <w:rPr>
          <w:rFonts w:ascii="Arial" w:hAnsi="Arial"/>
          <w:sz w:val="24"/>
          <w:szCs w:val="24"/>
          <w:rtl w:val="0"/>
          <w:lang w:val="en-US"/>
        </w:rPr>
        <w:t xml:space="preserve">•  Fever, bloody stools, or severe belly pain</w:t>
      </w:r>
    </w:p>
    <w:p>
      <w:pPr>
        <w:pStyle w:val="Default"/>
      </w:pPr>
      <w:r>
        <w:rPr>
          <w:rFonts w:ascii="Arial" w:hAnsi="Arial"/>
          <w:sz w:val="24"/>
          <w:szCs w:val="24"/>
          <w:rtl w:val="0"/>
          <w:lang w:val="en-US"/>
        </w:rPr>
        <w:t xml:space="preserve">•  You are unsure whether the prep is working</w:t>
      </w:r>
    </w:p>
    <w:p>
      <w:pPr>
        <w:pStyle w:val="Default"/>
      </w:pPr>
      <w:r>
        <w:rPr>
          <w:rFonts w:ascii="Arial" w:hAnsi="Arial"/>
          <w:sz w:val="24"/>
          <w:szCs w:val="24"/>
          <w:rtl w:val="0"/>
          <w:lang w:val="en-US"/>
        </w:rPr>
        <w:t xml:space="preserve">•  You have questions about your child's medications</w:t>
      </w:r>
    </w:p>
    <w:p>
      <w:pPr>
        <w:pStyle w:val="List Paragraph"/>
      </w:pPr>
      <w:r>
        <w:rPr>
          <w:rFonts w:eastAsia="Apple Color Emoji" w:hint="eastAsia"/>
          <w:outline w:val="0"/>
          <w:color w:val="2e75b6"/>
          <w:sz w:val="24"/>
          <w:szCs w:val="24"/>
          <w:u w:color="2e75b6"/>
          <w:rtl w:val="0"/>
          <w14:textFill>
            <w14:solidFill>
              <w14:srgbClr w14:val="2E75B6"/>
            </w14:solidFill>
          </w14:textFill>
        </w:rPr>
        <w:t>💡</w:t>
      </w:r>
      <w:r>
        <w:rPr>
          <w:rFonts w:ascii="Arial" w:hAnsi="Arial"/>
          <w:b w:val="1"/>
          <w:bCs w:val="1"/>
          <w:outline w:val="0"/>
          <w:color w:val="2e75b6"/>
          <w:sz w:val="24"/>
          <w:szCs w:val="24"/>
          <w:u w:color="2e75b6"/>
          <w:rtl w:val="0"/>
          <w:lang w:val="en-US"/>
          <w14:textFill>
            <w14:solidFill>
              <w14:srgbClr w14:val="2E75B6"/>
            </w14:solidFill>
          </w14:textFill>
        </w:rPr>
        <w:t xml:space="preserve">  Tips for Success</w:t>
      </w:r>
    </w:p>
    <w:p>
      <w:pPr>
        <w:pStyle w:val="Default"/>
      </w:pPr>
      <w:r>
        <w:rPr>
          <w:rFonts w:ascii="Arial" w:hAnsi="Arial"/>
          <w:sz w:val="24"/>
          <w:szCs w:val="24"/>
          <w:rtl w:val="0"/>
          <w:lang w:val="en-US"/>
        </w:rPr>
        <w:t xml:space="preserve">•  Offer clear liquids frequently in small amounts — a syringe, sippy cup, or bottle may help.</w:t>
      </w:r>
    </w:p>
    <w:p>
      <w:pPr>
        <w:pStyle w:val="Default"/>
      </w:pPr>
      <w:r>
        <w:rPr>
          <w:rFonts w:ascii="Arial" w:hAnsi="Arial"/>
          <w:sz w:val="24"/>
          <w:szCs w:val="24"/>
          <w:rtl w:val="0"/>
          <w:lang w:val="en-US"/>
        </w:rPr>
        <w:t xml:space="preserve">•  Popsicles and gelatin help keep your child hydrated. Avoid red and purple — they can look like blood.</w:t>
      </w:r>
    </w:p>
    <w:p>
      <w:pPr>
        <w:pStyle w:val="Default"/>
      </w:pPr>
      <w:r>
        <w:rPr>
          <w:rFonts w:ascii="Arial" w:hAnsi="Arial"/>
          <w:sz w:val="24"/>
          <w:szCs w:val="24"/>
          <w:rtl w:val="0"/>
          <w:lang w:val="en-US"/>
        </w:rPr>
        <w:t xml:space="preserve">•  Expect frequent watery stools — this means the prep is working.</w:t>
      </w:r>
    </w:p>
    <w:p>
      <w:pPr>
        <w:pStyle w:val="Default"/>
      </w:pPr>
      <w:r>
        <w:rPr>
          <w:rFonts w:ascii="Arial" w:hAnsi="Arial"/>
          <w:sz w:val="24"/>
          <w:szCs w:val="24"/>
          <w:rtl w:val="0"/>
          <w:lang w:val="en-US"/>
        </w:rPr>
        <w:t xml:space="preserve">•  Keep the diaper area well protected with ointment to prevent irritation.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color="FFFFFF" w:sz="0"/>
              <w:left w:val="none" w:color="FFFFFF" w:sz="0"/>
              <w:bottom w:val="none" w:color="FFFFFF" w:sz="0"/>
              <w:right w:val="none" w:color="FFFFFF" w:sz="0"/>
            </w:tcBorders>
            <w:vAlign w:val="center"/>
          </w:tcPr>
          <w:p>
            <w:pPr>
              <w:pBdr>
                <w:bottom w:val="single" w:color="2E75B6" w:sz="2" w:space="4"/>
              </w:pBdr>
              <w:spacing w:after="100" w:before="0"/>
            </w:pPr>
            <w:r>
              <w:rPr>
                <w:rFonts w:ascii="Arial" w:cs="Arial" w:eastAsia="Arial" w:hAnsi="Arial"/>
                <w:b/>
                <w:bCs/>
                <w:color w:val="2E75B6"/>
                <w:sz w:val="28"/>
                <w:szCs w:val="28"/>
              </w:rPr>
              <w:t xml:space="preserve">Helpful Resources</w:t>
            </w:r>
          </w:p>
          <w:p>
            <w:hyperlink w:history="1" r:id="rIdrf1rktk8rqoqzhwexkbnp">
              <w:r>
                <w:rPr>
                  <w:rFonts w:ascii="Apple Color Emoji" w:hAnsi="Apple Color Emoji" w:cs="Apple Color Emoji" w:eastAsia="Apple Color Emoji"/>
                  <w:rStyle w:val="Hyperlink"/>
                  <w:sz w:val="22"/>
                  <w:szCs w:val="22"/>
                </w:rPr>
                <w:t xml:space="preserve">🎥</w:t>
              </w:r>
              <w:r>
                <w:rPr>
                  <w:rFonts w:ascii="Arial" w:cs="Arial" w:eastAsia="Arial" w:hAnsi="Arial"/>
                  <w:rStyle w:val="Hyperlink"/>
                  <w:sz w:val="22"/>
                  <w:szCs w:val="22"/>
                </w:rPr>
                <w:t xml:space="preserve"> Watch: How to prepare for your child's colonoscopy</w:t>
              </w:r>
            </w:hyperlink>
          </w:p>
          <w:p>
            <w:pPr>
              <w:spacing w:before="100"/>
            </w:pPr>
            <w:hyperlink w:history="1" r:id="rIduardcpghddnqlwgv0algj">
              <w:r>
                <w:rPr>
                  <w:rStyle w:val="Hyperlink"/>
                  <w:rFonts w:ascii="Arial" w:cs="Arial" w:eastAsia="Arial" w:hAnsi="Arial"/>
                  <w:sz w:val="22"/>
                  <w:szCs w:val="22"/>
                </w:rPr>
                <w:t xml:space="preserve">Learn more about pediatric colonoscopy (GIKids.org)</w:t>
              </w:r>
            </w:hyperlink>
          </w:p>
        </w:tc>
        <w:tc>
          <w:tcPr>
            <w:tcW w:type="dxa" w:w="2000"/>
            <w:tcBorders>
              <w:top w:val="none" w:color="FFFFFF" w:sz="0"/>
              <w:left w:val="none" w:color="FFFFFF" w:sz="0"/>
              <w:bottom w:val="none" w:color="FFFFFF" w:sz="0"/>
              <w:right w:val="none" w:color="FFFFFF" w:sz="0"/>
            </w:tcBorders>
          </w:tcPr>
          <w:p>
            <w:pPr>
              <w:jc w:val="center"/>
            </w:pPr>
            <w:r>
              <w:drawing>
                <wp:inline distT="0" distB="0" distL="0" distR="0">
                  <wp:extent cx="762000" cy="762000"/>
                  <wp:effectExtent t="0" r="0" b="0" l="0"/>
                  <wp:docPr id="1" name="qr_video" descr="Scan to watch prep video"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762000"/>
                          </a:xfrm>
                          <a:prstGeom prst="rect">
                            <a:avLst/>
                          </a:prstGeom>
                        </pic:spPr>
                      </pic:pic>
                    </a:graphicData>
                  </a:graphic>
                </wp:inline>
              </w:drawing>
            </w:r>
          </w:p>
          <w:p>
            <w:pPr>
              <w:jc w:val="center"/>
            </w:pPr>
            <w:r>
              <w:rPr>
                <w:rFonts w:ascii="Arial" w:cs="Arial" w:eastAsia="Arial" w:hAnsi="Arial"/>
                <w:i/>
                <w:iCs/>
                <w:sz w:val="16"/>
                <w:szCs w:val="16"/>
              </w:rPr>
              <w:t xml:space="preserve">Scan to watch prep video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color="FFFFFF" w:sz="0"/>
              <w:left w:val="none" w:color="FFFFFF" w:sz="0"/>
              <w:bottom w:val="none" w:color="FFFFFF" w:sz="0"/>
              <w:right w:val="none" w:color="FFFFFF" w:sz="0"/>
            </w:tcBorders>
            <w:vAlign w:val="center"/>
          </w:tcPr>
          <w:p>
            <w:pPr>
              <w:pBdr>
                <w:bottom w:val="single" w:color="2E75B6" w:sz="2" w:space="4"/>
              </w:pBdr>
              <w:spacing w:after="100" w:before="0"/>
            </w:pPr>
            <w:r>
              <w:rPr>
                <w:rFonts w:ascii="Arial" w:cs="Arial" w:eastAsia="Arial" w:hAnsi="Arial"/>
                <w:b/>
                <w:bCs/>
                <w:color w:val="2E75B6"/>
                <w:sz w:val="28"/>
                <w:szCs w:val="28"/>
              </w:rPr>
              <w:t xml:space="preserve">Questions?</w:t>
            </w:r>
          </w:p>
          <w:p>
            <w:hyperlink w:history="1" r:id="rId3417i9rip1ykumx37zxuq">
              <w:r>
                <w:rPr>
                  <w:rStyle w:val="Hyperlink"/>
                  <w:rFonts w:ascii="Arial" w:cs="Arial" w:eastAsia="Arial" w:hAnsi="Arial"/>
                  <w:sz w:val="22"/>
                  <w:szCs w:val="22"/>
                </w:rPr>
                <w:t xml:space="preserve">Message us via the patient portal (preferred contact method)</w:t>
              </w:r>
            </w:hyperlink>
          </w:p>
          <w:p>
            <w:pPr>
              <w:spacing w:before="100"/>
            </w:pPr>
            <w:r>
              <w:rPr>
                <w:rFonts w:ascii="Arial" w:cs="Arial" w:eastAsia="Arial" w:hAnsi="Arial"/>
                <w:b/>
                <w:bCs/>
                <w:sz w:val="22"/>
                <w:szCs w:val="22"/>
              </w:rPr>
              <w:t xml:space="preserve">For urgent issues, call (317) 338-9450</w:t>
            </w:r>
          </w:p>
        </w:tc>
        <w:tc>
          <w:tcPr>
            <w:tcW w:type="dxa" w:w="2000"/>
            <w:tcBorders>
              <w:top w:val="none" w:color="FFFFFF" w:sz="0"/>
              <w:left w:val="none" w:color="FFFFFF" w:sz="0"/>
              <w:bottom w:val="none" w:color="FFFFFF" w:sz="0"/>
              <w:right w:val="none" w:color="FFFFFF" w:sz="0"/>
            </w:tcBorders>
          </w:tcPr>
          <w:p>
            <w:pPr>
              <w:jc w:val="center"/>
            </w:pPr>
            <w:r>
              <w:drawing>
                <wp:inline distT="0" distB="0" distL="0" distR="0">
                  <wp:extent cx="762000" cy="762000"/>
                  <wp:effectExtent t="0" r="0" b="0" l="0"/>
                  <wp:docPr id="1" name="qr_portal" descr="Scan for the patient portal"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 cy="762000"/>
                          </a:xfrm>
                          <a:prstGeom prst="rect">
                            <a:avLst/>
                          </a:prstGeom>
                        </pic:spPr>
                      </pic:pic>
                    </a:graphicData>
                  </a:graphic>
                </wp:inline>
              </w:drawing>
            </w:r>
          </w:p>
          <w:p>
            <w:pPr>
              <w:jc w:val="center"/>
            </w:pPr>
            <w:r>
              <w:rPr>
                <w:rFonts w:ascii="Arial" w:cs="Arial" w:eastAsia="Arial" w:hAnsi="Arial"/>
                <w:i/>
                <w:iCs/>
                <w:sz w:val="16"/>
                <w:szCs w:val="16"/>
              </w:rPr>
              <w:t xml:space="preserve">Scan for the patient portal</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sz w:val="18"/>
        <w:szCs w:val="18"/>
      </w:rPr>
      <w:t xml:space="preserve">Questions? Call (317) 338-9450</w:t>
    </w:r>
    <w:r>
      <w:rPr>
        <w:rFonts w:ascii="Arial" w:cs="Arial" w:eastAsia="Arial" w:hAnsi="Arial"/>
        <w:sz w:val="18"/>
        <w:szCs w:val="18"/>
      </w:rPr>
      <w:t xml:space="preserve">	</w:t>
    </w: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bullet"/>
      <w:lvlText w:val="•"/>
      <w:lvlJc w:val="left"/>
      <w:pPr>
        <w:ind w:left="1080" w:hanging="360"/>
      </w:pPr>
    </w:lvl>
  </w:abstractNum>
  <w:abstractNum w:abstractNumId="7" w15:restartNumberingAfterBreak="0">
    <w:multiLevelType w:val="hybridMultilevel"/>
    <w:lvl w:ilvl="0"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11"/>
    <w:lvlOverride w:ilvl="0">
      <w:startOverride w:val="1"/>
    </w:lvlOverride>
  </w:num>
  <w:num w:numId="4">
    <w:abstractNumId w:val="12"/>
    <w:lvlOverride w:ilvl="0">
      <w:startOverride w:val="1"/>
    </w:lvlOverride>
  </w:num>
  <w:num w:numId="5">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f1rktk8rqoqzhwexkbnp" Type="http://schemas.openxmlformats.org/officeDocument/2006/relationships/hyperlink" Target="http://www.youtube.com/watch?v=dT3HPrMFwDc" TargetMode="External"/><Relationship Id="rIduardcpghddnqlwgv0algj" Type="http://schemas.openxmlformats.org/officeDocument/2006/relationships/hyperlink" Target="https://gikids.org/tests-procedures/colonoscopy/" TargetMode="External"/><Relationship Id="rId3417i9rip1ykumx37zxuq" Type="http://schemas.openxmlformats.org/officeDocument/2006/relationships/hyperlink" Target="https://healthcare.ascension.org/patient-portal/indiana-ascension-st-vincent" TargetMode="External"/><Relationship Id="rId8" Type="http://schemas.openxmlformats.org/officeDocument/2006/relationships/image" Target="media/47aa45401ca0e258491fc720ecf398d733281628.png"/><Relationship Id="rId9" Type="http://schemas.openxmlformats.org/officeDocument/2006/relationships/image" Target="media/2b0f7c151bd19936a60631842eb9027434de156b.png"/><Relationship Id="rId10" Type="http://schemas.openxmlformats.org/officeDocument/2006/relationships/image" Target="media/eaeffbe1a6fe913e03df010f94ddbc37b47e69e5.png"/><Relationship Id="rId11" Type="http://schemas.openxmlformats.org/officeDocument/2006/relationships/image" Target="media/44c6d24be910756039611d52c1005890915f7786.png"/><Relationship Id="rId12" Type="http://schemas.openxmlformats.org/officeDocument/2006/relationships/image" Target="media/31672129820ea3b9ab209f91d4127085702e05c6.png"/><Relationship Id="rId16" Type="http://schemas.openxmlformats.org/officeDocument/2006/relationships/fontTable" Target="fontTable.xml"/><Relationship Id="rId17" Type="http://schemas.openxmlformats.org/officeDocument/2006/relationships/image" Target="media/mobile-q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2026-04-05T16:48:52.754Z</dcterms:created>
  <dcterms:modified xsi:type="dcterms:W3CDTF">2026-04-05T16:48:52.754Z</dcterms:modified>
</cp:coreProperties>
</file>

<file path=docProps/custom.xml><?xml version="1.0" encoding="utf-8"?>
<Properties xmlns="http://schemas.openxmlformats.org/officeDocument/2006/custom-properties" xmlns:vt="http://schemas.openxmlformats.org/officeDocument/2006/docPropsVTypes"/>
</file>