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w="935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407"/>
        <w:gridCol w:w="2971"/>
        <w:gridCol w:w="2972"/>
      </w:tblGrid>
      <w:tr>
        <w:tblPrEx>
          <w:shd w:val="clear" w:color="auto" w:fill="ced7e7"/>
        </w:tblPrEx>
        <w:trPr>
          <w:trHeight w:val="1208" w:hRule="atLeast"/>
        </w:trPr>
        <w:tc>
          <w:tcPr>
            <w:tcW w:type="dxa" w:w="3407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2055644" cy="608471"/>
                  <wp:effectExtent l="0" t="0" r="0" b="0"/>
                  <wp:docPr id="1073741825" name="officeArt object" descr="PMCH Logo&#10;&#10;Peyton Manning Children's Hospital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5" name="PMCH LogoPeyton Manning Children's Hospital" descr="PMCH LogoPeyton Manning Children's Hospital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644" cy="608471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jc w:val="center"/>
              <w:rPr>
                <w:sz w:val="32"/>
                <w:szCs w:val="32"/>
              </w:rPr>
            </w:pPr>
            <w:r>
              <w:rPr>
                <w:rFonts w:ascii="Arial" w:hAnsi="Arial"/>
                <w:b w:val="1"/>
                <w:bCs w:val="1"/>
                <w:sz w:val="32"/>
                <w:szCs w:val="32"/>
                <w:rtl w:val="0"/>
                <w:lang w:val="nl-NL"/>
              </w:rPr>
              <w:t>Gastroenterología Pediátrica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</w:tabs>
              <w:jc w:val="center"/>
            </w:pPr>
            <w:r>
              <w:rPr>
                <w:rFonts w:ascii="Arial" w:hAnsi="Arial"/>
                <w:sz w:val="24"/>
                <w:szCs w:val="24"/>
                <w:rtl w:val="0"/>
              </w:rPr>
              <w:t>(317) 338-9450</w:t>
            </w:r>
          </w:p>
        </w:tc>
        <w:tc>
          <w:tcPr>
            <w:tcW w:type="dxa" w:w="297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New Roman" w:hAnsi="Times New Roman"/>
                <w:sz w:val="20"/>
                <w:szCs w:val="20"/>
                <w:rtl w:val="0"/>
                <w:lang w:val="en-US"/>
              </w:rPr>
              <w:t xml:space="preserve">  </w:t>
            </w:r>
            <w:r>
              <w:rPr>
                <w:rFonts w:ascii="Times New Roman" w:cs="Times New Roman" w:hAnsi="Times New Roman" w:eastAsia="Times New Roman"/>
                <w:sz w:val="20"/>
                <w:szCs w:val="20"/>
                <w:u w:color="000000"/>
                <w:shd w:val="nil" w:color="auto" w:fill="auto"/>
                <w:rtl w:val="0"/>
              </w:rPr>
              <w:drawing xmlns:a="http://schemas.openxmlformats.org/drawingml/2006/main">
                <wp:inline distT="0" distB="0" distL="0" distR="0">
                  <wp:extent cx="1238250" cy="733425"/>
                  <wp:effectExtent l="0" t="0" r="0" b="0"/>
                  <wp:docPr id="1073741826" name="officeArt object" descr="CSV Logo&#10;&#10;Children's Surgery Verification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6" name="CSV LogoChildren's Surgery Verification" descr="CSV LogoChildren's Surgery Verification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250" cy="733425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9340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5500"/>
        <w:gridCol w:w="2500"/>
        <w:gridCol w:w="1340"/>
      </w:tblGrid>
      <w:tr>
        <w:trPr/>
        <w:tc>
          <w:tcPr>
            <w:tcW w:type="dxa" w:w="55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</w:pPr>
            <w:r>
              <w:rPr>
                <w:rFonts w:ascii="Arial" w:hAnsi="Arial"/>
                <w:b w:val="1"/>
                <w:bCs w:val="1"/>
                <w:sz w:val="32"/>
                <w:szCs w:val="32"/>
                <w:rtl w:val="0"/>
                <w:lang w:val="en-US"/>
              </w:rPr>
              <w:t>Preparación para Colonoscopia</w:t>
            </w:r>
          </w:p>
        </w:tc>
        <w:tc>
          <w:tcPr>
            <w:tcW w:type="dxa" w:w="250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pStyle w:val="Default"/>
              <w:spacing w:before="0" w:after="0"/>
              <w:jc w:val="right"/>
            </w:pPr>
            <w:r>
              <w:rPr>
                <w:rFonts w:ascii="Arial" w:hAnsi="Arial"/>
                <w:i w:val="1"/>
                <w:color w:val="666666"/>
                <w:sz w:val="12"/>
                <w:szCs w:val="12"/>
              </w:rPr>
              <w:t>Escanee</w:t>
              <w:br/>
              <w:t>para versión</w:t>
              <w:br/>
              <w:t>móvil</w:t>
            </w:r>
          </w:p>
        </w:tc>
        <w:tc>
          <w:tcPr>
            <w:tcW w:type="dxa" w:w="1340"/>
            <w:tcBorders>
              <w:top w:val="nil"/>
              <w:left w:val="nil"/>
              <w:bottom w:val="nil"/>
              <w:right w:val="nil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pStyle w:val="Default"/>
              <w:spacing w:before="0" w:after="0"/>
              <w:jc w:val="left"/>
            </w:pPr>
            <w:r>
              <w:rPr/>
              <w:drawing>
                <wp:inline distT="0" distB="0" distL="0" distR="0">
                  <wp:extent cx="362000" cy="362000"/>
                  <wp:effectExtent l="0" t="0" r="0" b="0"/>
                  <wp:docPr id="999" name="Mobile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" name="MobileQR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0" cy="3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</w:pP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>{{DOCX_HEADING}}</w:t>
      </w:r>
    </w:p>
    <w:p>
      <w:pPr>
        <w:pStyle w:val="Default"/>
      </w:pPr>
    </w:p>
    <w:tbl>
      <w:tblPr>
        <w:tblW w:w="936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7360"/>
        <w:gridCol w:w="2000"/>
      </w:tblGrid>
      <w:tr>
        <w:tblPrEx>
          <w:shd w:val="clear" w:color="auto" w:fill="ced7e7"/>
        </w:tblPrEx>
        <w:trPr>
          <w:trHeight w:val="1556" w:hRule="atLeast"/>
        </w:trPr>
        <w:tc>
          <w:tcPr>
            <w:tcW w:type="dxa" w:w="736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rtl w:val="0"/>
                <w:lang w:val="en-US"/>
              </w:rPr>
              <w:t>Ubicación del Procedimiento: {{LOCATION_NAME}}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rtl w:val="0"/>
                <w:lang w:val="en-US"/>
              </w:rPr>
              <w:t xml:space="preserve">{{LOCATION_ADDRESS}}  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rtl w:val="0"/>
                <w:lang w:val="en-US"/>
              </w:rPr>
              <w:t>{{LOCATION_PHONE_LABEL}}: {{LOCATION_PHONE}}</w:t>
            </w:r>
          </w:p>
          <w:p>
            <w:pPr>
              <w:pStyle w:val="Body"/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</w:tabs>
            </w:pPr>
            <w:r>
              <w:rPr>
                <w:rFonts w:ascii="Arial" w:hAnsi="Arial"/>
                <w:b w:val="1"/>
                <w:bCs w:val="1"/>
                <w:outline w:val="0"/>
                <w:color w:val="d9534f"/>
                <w:u w:color="d9534f"/>
                <w:rtl w:val="0"/>
                <w:lang w:val="en-US"/>
                <w14:textFill>
                  <w14:solidFill>
                    <w14:srgbClr w14:val="D9534F"/>
                  </w14:solidFill>
                </w14:textFill>
              </w:rPr>
              <w:t>{{LOCATION_ARRIVAL}}</w:t>
            </w:r>
          </w:p>
        </w:tc>
        <w:tc>
          <w:tcPr>
            <w:tcW w:type="dxa" w:w="2000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</w:pPr>
            <w:r>
              <w:rPr>
                <w:rFonts w:ascii="Times New Roman" w:cs="Times New Roman" w:hAnsi="Times New Roman" w:eastAsia="Times New Roman"/>
                <w:sz w:val="20"/>
                <w:szCs w:val="20"/>
                <w:rtl w:val="0"/>
              </w:rPr>
              <w:drawing xmlns:a="http://schemas.openxmlformats.org/drawingml/2006/main">
                <wp:inline distT="0" distB="0" distL="0" distR="0">
                  <wp:extent cx="571500" cy="571500"/>
                  <wp:effectExtent l="0" t="0" r="0" b="0"/>
                  <wp:docPr id="1073741827" name="officeArt object" descr="QR&#10;&#10;Scan for directions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73741827" name="QRScan for directions" descr="QRScan for directions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/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00" cy="571500"/>
                          </a:xfrm>
                          <a:prstGeom prst="rect">
                            <a:avLst/>
                          </a:prstGeom>
                          <a:ln w="12700" cap="flat">
                            <a:noFill/>
                            <a:miter lim="400000"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" w:hAnsi="Arial"/>
                <w:i w:val="1"/>
                <w:iCs w:val="1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 xml:space="preserve">Scan </w:t>
            </w:r>
            <w:r>
              <w:rPr>
                <w:rFonts w:ascii="Arial" w:hAnsi="Arial"/>
                <w:i w:val="1"/>
                <w:iCs w:val="1"/>
                <w:sz w:val="16"/>
                <w:szCs w:val="16"/>
                <w:u w:color="000000"/>
                <w:shd w:val="nil" w:color="auto" w:fill="auto"/>
                <w:rtl w:val="0"/>
                <w:lang w:val="en-US"/>
              </w:rPr>
              <w:t>for Google Maps directions</w:t>
            </w:r>
          </w:p>
        </w:tc>
      </w:tr>
    </w:tbl>
    <w:p>
      <w:pPr>
        <w:pStyle w:val="List Paragraph"/>
        <w:jc w:val="center"/>
      </w:pPr>
      <w:r>
        <w:rPr>
          <w:rFonts w:ascii="Arial" w:hAnsi="Arial"/>
          <w:b w:val="1"/>
          <w:bCs w:val="1"/>
          <w:color w:val="2e75b6"/>
          <w:sz w:val="24"/>
          <w:szCs w:val="24"/>
          <w:lang w:val="en-US"/>
        </w:rPr>
        <w:t>Opción Preparación con MiraLAX</w:t>
      </w: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✅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Planifique con Anticipación (recoja en la farmacia)</w:t>
      </w:r>
    </w:p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>•  MiraLAX® (polietilenglicol 3350) — solo se necesita una cantidad pequeña, vea la tabla de dosis abajo</w:t>
      </w:r>
    </w:p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>•  Pedialyte® o jugo de manzana claro (para mezclar con MiraLAX)</w:t>
      </w:r>
    </w:p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>•  Ungüento protector (A&amp;D, Desitin®, o Vaseline®) para el área del pañal</w:t>
      </w: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⚖️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Dosis de MiraLAX por Peso</w:t>
      </w:r>
    </w:p>
    <w:tbl>
      <w:tblPr>
        <w:tblW w:w="934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2900"/>
        <w:gridCol w:w="2700"/>
        <w:gridCol w:w="3740"/>
      </w:tblGrid>
      <w:tr>
        <w:trPr>
          <w:cantSplit/>
        </w:trPr>
        <w:tc>
          <w:tcPr>
            <w:tcW w:type="dxa" w:w="29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rtl w:val="0"/>
                <w:lang w:val="en-US"/>
              </w:rPr>
              <w:t xml:space="preserve">Peso de su Niño</w:t>
            </w:r>
          </w:p>
        </w:tc>
        <w:tc>
          <w:tcPr>
            <w:tcW w:type="dxa" w:w="27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rtl w:val="0"/>
                <w:lang w:val="en-US"/>
              </w:rPr>
              <w:t xml:space="preserve">Dosis de MiraLAX</w:t>
            </w:r>
          </w:p>
        </w:tc>
        <w:tc>
          <w:tcPr>
            <w:tcW w:type="dxa" w:w="374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rtl w:val="0"/>
                <w:lang w:val="en-US"/>
              </w:rPr>
              <w:t xml:space="preserve">Cómo Dar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 xml:space="preserve">Menos de 5 kg (menos de 11 lb)</w:t>
            </w:r>
          </w:p>
        </w:tc>
        <w:tc>
          <w:tcPr>
            <w:tcW w:type="dxa" w:w="27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 xml:space="preserve">¼ tapa (aproximadamente 4 g)</w:t>
            </w:r>
          </w:p>
        </w:tc>
        <w:tc>
          <w:tcPr>
            <w:tcW w:type="dxa" w:w="374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 xml:space="preserve">Mezcle en 2–4 oz de Pedialyte o jugo de manzana claro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 xml:space="preserve">5–9 kg (11–20 lb)</w:t>
            </w:r>
          </w:p>
        </w:tc>
        <w:tc>
          <w:tcPr>
            <w:tcW w:type="dxa" w:w="27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 xml:space="preserve">½ tapa (aproximadamente 8.5 g)</w:t>
            </w:r>
          </w:p>
        </w:tc>
        <w:tc>
          <w:tcPr>
            <w:tcW w:type="dxa" w:w="374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 xml:space="preserve">Mezcle en 4–6 oz de Pedialyte o jugo de manzana claro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 xml:space="preserve">10–15 kg (22–33 lb)</w:t>
            </w:r>
          </w:p>
        </w:tc>
        <w:tc>
          <w:tcPr>
            <w:tcW w:type="dxa" w:w="27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 xml:space="preserve">¾ tapa (aproximadamente 13 g)</w:t>
            </w:r>
          </w:p>
        </w:tc>
        <w:tc>
          <w:tcPr>
            <w:tcW w:type="dxa" w:w="374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rtl w:val="0"/>
                <w:lang w:val="en-US"/>
              </w:rPr>
              <w:t xml:space="preserve">Mezcle en 6–8 oz de Pedialyte o jugo de manzana claro</w:t>
            </w:r>
          </w:p>
        </w:tc>
      </w:tr>
    </w:tbl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Give the dose listed above once daily on each prep day as described below. Si a su niño le cuesta beberlo todo a la vez, ofrézcalo en pequeños sorbos durante 1–2 horas.</w:t>
      </w: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📅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3 Días y 2 Días Antes del Procedimiento</w:t>
      </w:r>
    </w:p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>•  Continúe la dieta normal de su niño</w:t>
      </w:r>
    </w:p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>•  Dé una dosis de MiraLAX por día, mezclada en jugo o Pedialyte (vea la tabla de dosis arriba)</w:t>
      </w:r>
    </w:p>
    <w:p>
      <w:r>
        <w:br w:type="page"/>
      </w: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📅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Día Antes del Procedimiento</w:t>
      </w:r>
    </w:p>
    <w:tbl>
      <w:tblPr>
        <w:tblW w:w="934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670"/>
        <w:gridCol w:w="4670"/>
      </w:tblGrid>
      <w:tr>
        <w:trPr>
          <w:cantSplit/>
        </w:trPr>
        <w:tc>
          <w:tcPr>
            <w:tcW w:type="dxa" w:w="9340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 Paragraph"/>
              <w:jc w:val="center"/>
            </w:pPr>
            <w:r>
              <w:rPr>
                <w:rFonts w:ascii="Arial" w:hAnsi="Arial"/>
                <w:b w:val="1"/>
                <w:bCs w:val="1"/>
                <w:color w:val="2e75b6"/>
                <w:sz w:val="22"/>
                <w:szCs w:val="22"/>
              </w:rPr>
              <w:t>Alimentos Bajos en Residuos — hasta las 6:00 PM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 Paragraph"/>
            </w:pPr>
            <w:r>
              <w:rPr>
                <w:rFonts w:ascii="Arial" w:hAnsi="Arial"/>
                <w:b w:val="1"/>
                <w:bCs w:val="1"/>
                <w:color w:val="d9534f"/>
                <w:sz w:val="24"/>
                <w:szCs w:val="24"/>
              </w:rPr>
              <w:t>EVITAR: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 Paragraph"/>
            </w:pPr>
            <w:r>
              <w:rPr>
                <w:rFonts w:ascii="Arial" w:hAnsi="Arial"/>
                <w:b w:val="1"/>
                <w:bCs w:val="1"/>
                <w:color w:val="4caf50"/>
                <w:sz w:val="24"/>
                <w:szCs w:val="24"/>
              </w:rPr>
              <w:t>PERMITIDO COMER: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Cereal de bebé con granos integrales, avena o fibra añadida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Arroz blanco simple o cereal de arroz blanco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Frutas y verduras crudas o secas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Pasta simple (sin salsa con trozos)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Frijoles, guisantes, lentejas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Pan blanco o galletas saladas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Nueces, semillas, palomitas de maíz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Comidas para bebé coladas (sin pieles/semillas/trozos)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Comidas de mesa con trozos, carnes con cartílago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Yogur simple (sin trozos de fruta ni granola)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Huevos revueltos</w:t>
            </w:r>
          </w:p>
        </w:tc>
      </w:tr>
    </w:tbl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/>
      </w:r>
    </w:p>
    <w:tbl>
      <w:tblPr>
        <w:tblW w:w="934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4670"/>
        <w:gridCol w:w="4670"/>
      </w:tblGrid>
      <w:tr>
        <w:trPr>
          <w:cantSplit/>
        </w:trPr>
        <w:tc>
          <w:tcPr>
            <w:tcW w:type="dxa" w:w="9340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 Paragraph"/>
              <w:jc w:val="center"/>
            </w:pPr>
            <w:r>
              <w:rPr>
                <w:rFonts w:ascii="Arial" w:hAnsi="Arial"/>
                <w:b w:val="1"/>
                <w:bCs w:val="1"/>
                <w:color w:val="2e75b6"/>
                <w:sz w:val="22"/>
                <w:szCs w:val="22"/>
              </w:rPr>
              <w:t>Líquidos — con estos horarios específicos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 Paragraph"/>
            </w:pPr>
            <w:r>
              <w:rPr>
                <w:rFonts w:ascii="Arial" w:hAnsi="Arial"/>
                <w:b w:val="1"/>
                <w:bCs w:val="1"/>
                <w:color w:val="d9534f"/>
                <w:sz w:val="24"/>
                <w:szCs w:val="24"/>
              </w:rPr>
              <w:t>EVITAR: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List Paragraph"/>
            </w:pPr>
            <w:r>
              <w:rPr>
                <w:rFonts w:ascii="Arial" w:hAnsi="Arial"/>
                <w:b w:val="1"/>
                <w:bCs w:val="1"/>
                <w:color w:val="4caf50"/>
                <w:sz w:val="24"/>
                <w:szCs w:val="24"/>
              </w:rPr>
              <w:t>PERMITIDO BEBER: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Comidas sólidas después de las 6:00 PM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Fórmula (hasta las 10:00 PM)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Fórmula después de las 10:00 PM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Leche materna (hasta las 2:00 AM del día del procedimiento)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Leche materna después de las 2:00 AM (el día del procedimiento)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Pedialyte®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Cualquier cosa roja o morada (parece sangre)</w:t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Jugo de manzana claro (sin pulpa)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Agua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Caldo claro (de pollo o vegetales, colado)</w:t>
            </w:r>
          </w:p>
        </w:tc>
      </w:tr>
      <w:tr>
        <w:trPr>
          <w:cantSplit/>
        </w:trPr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/>
            </w:r>
          </w:p>
        </w:tc>
        <w:tc>
          <w:tcPr>
            <w:tcW w:type="dxa" w:w="467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4"/>
                <w:szCs w:val="24"/>
                <w:lang w:val="en-US"/>
              </w:rPr>
              <w:t xml:space="preserve">Paletas o gelatina simple (sin rojo/morado)</w:t>
            </w:r>
          </w:p>
        </w:tc>
      </w:tr>
    </w:tbl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/>
      </w:r>
    </w:p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>Aplique ungüento protector en el área del pañal.</w:t>
      </w: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⏰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Reglas de Ayuno — Día del Procedimiento</w:t>
      </w:r>
    </w:p>
    <w:p>
      <w:pPr>
        <w:pStyle w:val="Default"/>
      </w:pPr>
      <w:r>
        <w:rPr>
          <w:rFonts w:ascii="Arial" w:hAnsi="Arial"/>
          <w:sz w:val="24"/>
          <w:szCs w:val="24"/>
          <w:lang w:val="en-US"/>
        </w:rPr>
        <w:t xml:space="preserve">Estos tiempos se cuentan hacia atrás desde la hora programada del procedimiento de su niño:</w:t>
      </w:r>
    </w:p>
    <w:tbl>
      <w:tblPr>
        <w:tblW w:w="9340" w:type="dxa"/>
        <w:jc w:val="left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</w:tblPr>
      <w:tblGrid>
        <w:gridCol w:w="5500"/>
        <w:gridCol w:w="3840"/>
      </w:tblGrid>
      <w:tr>
        <w:trPr>
          <w:cantSplit/>
        </w:trPr>
        <w:tc>
          <w:tcPr>
            <w:tcW w:type="dxa" w:w="55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lang w:val="en-US"/>
              </w:rPr>
              <w:t xml:space="preserve">Qué</w:t>
            </w:r>
          </w:p>
        </w:tc>
        <w:tc>
          <w:tcPr>
            <w:tcW w:type="dxa" w:w="384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b w:val="1"/>
                <w:bCs w:val="1"/>
                <w:sz w:val="24"/>
                <w:szCs w:val="24"/>
                <w:lang w:val="en-US"/>
              </w:rPr>
              <w:t xml:space="preserve">Cuándo Suspender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Todas las comidas sólidas y bajas en residuos</w:t>
            </w:r>
          </w:p>
        </w:tc>
        <w:tc>
          <w:tcPr>
            <w:tcW w:type="dxa" w:w="384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6:00 PM del día anterior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Fórmula</w:t>
            </w:r>
          </w:p>
        </w:tc>
        <w:tc>
          <w:tcPr>
            <w:tcW w:type="dxa" w:w="384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10:00 PM del día anterior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Leche materna</w:t>
            </w:r>
          </w:p>
        </w:tc>
        <w:tc>
          <w:tcPr>
            <w:tcW w:type="dxa" w:w="384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2:00 AM del día del procedimiento</w:t>
            </w:r>
          </w:p>
        </w:tc>
      </w:tr>
      <w:tr>
        <w:trPr>
          <w:cantSplit/>
        </w:trPr>
        <w:tc>
          <w:tcPr>
            <w:tcW w:type="dxa" w:w="550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Líquidos claros (Pedialyte, agua, jugo claro)</w:t>
            </w:r>
          </w:p>
        </w:tc>
        <w:tc>
          <w:tcPr>
            <w:tcW w:type="dxa" w:w="3840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pStyle w:val="Default"/>
            </w:pPr>
            <w:r>
              <w:rPr>
                <w:rFonts w:ascii="Arial" w:hAnsi="Arial"/>
                <w:sz w:val="22"/>
                <w:szCs w:val="22"/>
                <w:lang w:val="en-US"/>
              </w:rPr>
              <w:t xml:space="preserve">2 horas antes del procedimiento</w:t>
            </w:r>
          </w:p>
        </w:tc>
      </w:tr>
    </w:tbl>
    <w:p>
      <w:pPr>
        <w:pStyle w:val="Default"/>
      </w:pPr>
      <w:r>
        <w:rPr>
          <w:rFonts w:ascii="Arial" w:hAnsi="Arial"/>
          <w:b w:val="1"/>
          <w:bCs w:val="1"/>
          <w:sz w:val="24"/>
          <w:szCs w:val="24"/>
          <w:lang w:val="en-US"/>
        </w:rPr>
        <w:t xml:space="preserve">Después del último límite de líquidos claros, no le dé nada de comer o beber. Esto mantiene seguro a su niño durante la anestesia.</w:t>
      </w: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⚠️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Cuándo Llamar al Doctor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Su niño no quiere beber, o tiene signos de deshidratación: sin lágrimas, boca seca, o sin pañales mojados por 6+ horas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Vómitos que impiden que su niño retenga líquidos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Fiebre, heces con sangre, o dolor abdominal severo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No está seguro si la preparación está funcionando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Tiene preguntas sobre los medicamentos de su niño</w:t>
      </w:r>
    </w:p>
    <w:p>
      <w:pPr>
        <w:pStyle w:val="List Paragraph"/>
      </w:pPr>
      <w:r>
        <w:rPr>
          <w:rFonts w:eastAsia="Apple Color Emoji" w:hint="eastAsia"/>
          <w:outline w:val="0"/>
          <w:color w:val="2e75b6"/>
          <w:sz w:val="24"/>
          <w:szCs w:val="24"/>
          <w:u w:color="2e75b6"/>
          <w:rtl w:val="0"/>
          <w14:textFill>
            <w14:solidFill>
              <w14:srgbClr w14:val="2E75B6"/>
            </w14:solidFill>
          </w14:textFill>
        </w:rPr>
        <w:t>💡</w:t>
      </w:r>
      <w:r>
        <w:rPr>
          <w:rFonts w:ascii="Arial" w:hAnsi="Arial"/>
          <w:b w:val="1"/>
          <w:bCs w:val="1"/>
          <w:outline w:val="0"/>
          <w:color w:val="2e75b6"/>
          <w:sz w:val="24"/>
          <w:szCs w:val="24"/>
          <w:u w:color="2e75b6"/>
          <w:rtl w:val="0"/>
          <w:lang w:val="en-US"/>
          <w14:textFill>
            <w14:solidFill>
              <w14:srgbClr w14:val="2E75B6"/>
            </w14:solidFill>
          </w14:textFill>
        </w:rPr>
        <w:t xml:space="preserve">  Consejos para el Éxito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Ofrezca líquidos claros frecuentemente en pequeñas cantidades — una jeringa, vaso entrenador o biberón pueden ayudar.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Las paletas y la gelatina ayudan a mantener hidratado a su niño. Evite los colores rojos y morados — pueden parecer sangre.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Espere heces acuosas frecuentes — esto significa que la preparación está funcionando.</w:t>
      </w:r>
    </w:p>
    <w:p>
      <w:pPr>
        <w:pStyle w:val="Default"/>
      </w:pPr>
      <w:r>
        <w:rPr>
          <w:rFonts w:ascii="Arial" w:hAnsi="Arial"/>
          <w:sz w:val="24"/>
          <w:szCs w:val="24"/>
          <w:rtl w:val="0"/>
          <w:lang w:val="en-US"/>
        </w:rPr>
        <w:t xml:space="preserve">•  Mantenga el área del pañal bien protegida con ungüento para prevenir irritación.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pBdr>
                <w:bottom w:val="single" w:color="2E75B6" w:sz="2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Recursos Útiles</w:t>
            </w:r>
          </w:p>
          <w:p>
            <w:hyperlink w:history="1" r:id="rIdrf1rktk8rqoqzhwexkbnp">
              <w:r>
                <w:rPr>
                  <w:rFonts w:ascii="Apple Color Emoji" w:hAnsi="Apple Color Emoji" w:cs="Apple Color Emoji" w:eastAsia="Apple Color Emoji"/>
                  <w:rStyle w:val="Hyperlink"/>
                  <w:sz w:val="22"/>
                  <w:szCs w:val="22"/>
                </w:rPr>
                <w:t xml:space="preserve">🎥</w:t>
              </w:r>
              <w:r>
                <w:rPr>
                  <w:rFonts w:ascii="Arial" w:cs="Arial" w:eastAsia="Arial" w:hAnsi="Arial"/>
                  <w:rStyle w:val="Hyperlink"/>
                  <w:sz w:val="22"/>
                  <w:szCs w:val="22"/>
                </w:rPr>
                <w:t xml:space="preserve"> Vea: Cómo prepararse para la colonoscopia de su niño</w:t>
              </w:r>
            </w:hyperlink>
          </w:p>
          <w:p>
            <w:pPr>
              <w:spacing w:before="100"/>
            </w:pPr>
            <w:hyperlink w:history="1" r:id="rIduardcpghddnqlwgv0algj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Aprenda más sobre la colonoscopia pediátrica (GIKids.org)</w:t>
              </w:r>
            </w:hyperlink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qr_video" descr="Escanee para ver el video de preparación" title="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Escanee para ver el video de preparación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360"/>
        <w:gridCol w:w="2000"/>
      </w:tblGrid>
      <w:tr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pBdr>
                <w:bottom w:val="single" w:color="2E75B6" w:sz="2" w:space="4"/>
              </w:pBd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E75B6"/>
                <w:sz w:val="28"/>
                <w:szCs w:val="28"/>
              </w:rPr>
              <w:t xml:space="preserve">¿Preguntas?</w:t>
            </w:r>
          </w:p>
          <w:p>
            <w:hyperlink w:history="1" r:id="rId3417i9rip1ykumx37zxuq">
              <w:r>
                <w:rPr>
                  <w:rStyle w:val="Hyperlink"/>
                  <w:rFonts w:ascii="Arial" w:cs="Arial" w:eastAsia="Arial" w:hAnsi="Arial"/>
                  <w:sz w:val="22"/>
                  <w:szCs w:val="22"/>
                </w:rPr>
                <w:t xml:space="preserve">Envíenos un mensaje a través del portal del paciente (método preferido)</w:t>
              </w:r>
            </w:hyperlink>
          </w:p>
          <w:p>
            <w:pPr>
              <w:spacing w:before="10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Para asuntos urgentes, llame al (317) 338-9450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center"/>
            </w:pPr>
            <w:r>
              <w:drawing>
                <wp:inline distT="0" distB="0" distL="0" distR="0">
                  <wp:extent cx="762000" cy="762000"/>
                  <wp:effectExtent t="0" r="0" b="0" l="0"/>
                  <wp:docPr id="1" name="qr_portal" descr="Escanee para el portal del paciente" title="Q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sz w:val="16"/>
                <w:szCs w:val="16"/>
              </w:rPr>
              <w:t xml:space="preserve">Escanee para el portal del paciente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Arial" w:cs="Arial" w:eastAsia="Arial" w:hAnsi="Arial"/>
        <w:sz w:val="18"/>
        <w:szCs w:val="18"/>
      </w:rPr>
      <w:t xml:space="preserve">¿Preguntas? Call (317) 338-9450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11"/>
    <w:lvlOverride w:ilvl="0">
      <w:startOverride w:val="1"/>
    </w:lvlOverride>
  </w:num>
  <w:num w:numId="4">
    <w:abstractNumId w:val="12"/>
    <w:lvlOverride w:ilvl="0">
      <w:startOverride w:val="1"/>
    </w:lvlOverride>
  </w:num>
  <w:num w:numId="5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rf1rktk8rqoqzhwexkbnp" Type="http://schemas.openxmlformats.org/officeDocument/2006/relationships/hyperlink" Target="https://youtube.com/playlist?list=PL0SsMsgRJwXXyWBiapEnUWdjKqtAeENCl&amp;si=Arwj1l4KenD16T4f" TargetMode="External"/><Relationship Id="rIduardcpghddnqlwgv0algj" Type="http://schemas.openxmlformats.org/officeDocument/2006/relationships/hyperlink" Target="https://gikids.org/tests-procedures/colonoscopy/" TargetMode="External"/><Relationship Id="rId3417i9rip1ykumx37zxuq" Type="http://schemas.openxmlformats.org/officeDocument/2006/relationships/hyperlink" Target="https://healthcare.ascension.org/patient-portal/indiana-ascension-st-vincent" TargetMode="External"/><Relationship Id="rId8" Type="http://schemas.openxmlformats.org/officeDocument/2006/relationships/image" Target="media/47aa45401ca0e258491fc720ecf398d733281628.png"/><Relationship Id="rId9" Type="http://schemas.openxmlformats.org/officeDocument/2006/relationships/image" Target="media/2b0f7c151bd19936a60631842eb9027434de156b.png"/><Relationship Id="rId10" Type="http://schemas.openxmlformats.org/officeDocument/2006/relationships/image" Target="media/eaeffbe1a6fe913e03df010f94ddbc37b47e69e5.png"/><Relationship Id="rId11" Type="http://schemas.openxmlformats.org/officeDocument/2006/relationships/image" Target="media/44c6d24be910756039611d52c1005890915f7786.png"/><Relationship Id="rId12" Type="http://schemas.openxmlformats.org/officeDocument/2006/relationships/image" Target="media/31672129820ea3b9ab209f91d4127085702e05c6.png"/><Relationship Id="rId16" Type="http://schemas.openxmlformats.org/officeDocument/2006/relationships/fontTable" Target="fontTable.xml"/><Relationship Id="rId17" Type="http://schemas.openxmlformats.org/officeDocument/2006/relationships/image" Target="media/mobile-qr.png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2026-04-05T16:48:52.754Z</dcterms:created>
  <dcterms:modified xsi:type="dcterms:W3CDTF">2026-04-05T16:48:52.754Z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