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7"/>
        <w:gridCol w:w="2971"/>
        <w:gridCol w:w="2972"/>
      </w:tblGrid>
      <w:tr>
        <w:tblPrEx>
          <w:shd w:val="clear" w:color="auto" w:fill="ced7e7"/>
        </w:tblPrEx>
        <w:trPr>
          <w:trHeight w:val="1208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055644" cy="608471"/>
                  <wp:effectExtent l="0" t="0" r="0" b="0"/>
                  <wp:docPr id="1073741825" name="officeArt object" descr="PMCH Logo&#10;&#10;Peyton Manning Children's Hospit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MCH LogoPeyton Manning Children's Hospital" descr="PMCH LogoPeyton Manning Children's Hospital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644" cy="6084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  <w:rPr>
                <w:sz w:val="32"/>
                <w:szCs w:val="32"/>
              </w:rPr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nl-NL"/>
              </w:rPr>
              <w:t>Gastroenterología Pediátrica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</w:pPr>
            <w:r>
              <w:rPr>
                <w:rFonts w:ascii="Arial" w:hAnsi="Arial"/>
                <w:sz w:val="24"/>
                <w:szCs w:val="24"/>
                <w:rtl w:val="0"/>
              </w:rPr>
              <w:t>(317) 338-9450</w:t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  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238250" cy="733425"/>
                  <wp:effectExtent l="0" t="0" r="0" b="0"/>
                  <wp:docPr id="1073741826" name="officeArt object" descr="CSV Logo&#10;&#10;Children's Surgery Verifica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SV LogoChildren's Surgery Verification" descr="CSV LogoChildren's Surgery Verificatio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7334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4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00"/>
        <w:gridCol w:w="2500"/>
        <w:gridCol w:w="1340"/>
      </w:tblGrid>
      <w:tr>
        <w:trPr/>
        <w:tc>
          <w:tcPr>
            <w:tcW w:type="dxa" w:w="5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sz w:val="26"/>
                <w:szCs w:val="26"/>
                <w:rtl w:val="0"/>
                <w:lang w:val="en-US"/>
              </w:rPr>
              <w:t>Preparación para Colonoscopia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right"/>
            </w:pPr>
            <w:r>
              <w:rPr>
                <w:rFonts w:ascii="Arial" w:hAnsi="Arial"/>
                <w:i w:val="1"/>
                <w:color w:val="666666"/>
                <w:sz w:val="12"/>
                <w:szCs w:val="12"/>
              </w:rPr>
              <w:t>Escanee</w:t>
              <w:br/>
              <w:t>para versión</w:t>
              <w:br/>
              <w:t>móvil</w:t>
            </w:r>
          </w:p>
        </w:tc>
        <w:tc>
          <w:tcPr>
            <w:tcW w:type="dxa" w:w="1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left"/>
            </w:pPr>
            <w:r>
              <w:rPr/>
              <w:drawing>
                <wp:inline distT="0" distB="0" distL="0" distR="0">
                  <wp:extent cx="362000" cy="362000"/>
                  <wp:effectExtent l="0" t="0" r="0" b="0"/>
                  <wp:docPr id="999" name="Mobile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MobileQR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" cy="3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{{DOCX_HEADING}}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556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>Ubicación del Procedimiento: {{LOCATION_NAME}}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 xml:space="preserve">{{LOCATION_ADDRESS}}  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>{{LOCATION_PHONE_LABEL}}: {{LOCATION_PHONE}}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u w:color="d9534f"/>
                <w:rtl w:val="0"/>
                <w:lang w:val="en-US"/>
                <w14:textFill>
                  <w14:solidFill>
                    <w14:srgbClr w14:val="D9534F"/>
                  </w14:solidFill>
                </w14:textFill>
              </w:rPr>
              <w:t>{{LOCATION_ARRIVAL}}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drawing xmlns:a="http://schemas.openxmlformats.org/drawingml/2006/main">
                <wp:inline distT="0" distB="0" distL="0" distR="0">
                  <wp:extent cx="571500" cy="571500"/>
                  <wp:effectExtent l="0" t="0" r="0" b="0"/>
                  <wp:docPr id="1073741827" name="officeArt object" descr="QR&#10;&#10;Scan for directi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QRScan for directions" descr="QRScan for directions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 xml:space="preserve">Escanee </w:t>
            </w: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para indicaciones de Google Maps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pple Color Emoji" w:hAnsi="Apple Color Emoji" w:hint="default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Planifique con Anticipación (compre 2 días antes)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sz w:val="24"/>
          <w:szCs w:val="24"/>
          <w:rtl w:val="0"/>
          <w:lang w:val="en-US"/>
        </w:rPr>
        <w:t>Compre estos artículos al menos 2 días antes del procedimiento: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 w:val="1"/>
          <w:bCs w:val="1"/>
          <w:rFonts w:ascii="Arial" w:hAnsi="Arial"/>
          <w:sz w:val="24"/>
          <w:szCs w:val="24"/>
          <w:rtl w:val="0"/>
          <w:lang w:val="en-US"/>
        </w:rPr>
        <w:t>{{DOCX_DULCOLAX_LONG}}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 w:val="1"/>
          <w:bCs w:val="1"/>
          <w:rFonts w:ascii="Arial" w:hAnsi="Arial"/>
          <w:sz w:val="24"/>
          <w:szCs w:val="24"/>
          <w:rtl w:val="0"/>
          <w:lang w:val="en-US"/>
        </w:rPr>
        <w:t>{{DOCX_MIRALAX_SHOPPING}}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Ungüento protector (Desitin o Vaseline) para comodidad del área anal</w:t>
      </w:r>
    </w:p>
    <w:p>
      <w:pPr>
        <w:pStyle w:val="List Paragraph"/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Sobre los Medicamentos:</w:t>
      </w:r>
    </w:p>
    <w:p>
      <w:pPr>
        <w:pStyle w:val="List 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Informe a su doctor sobre todos los medicamentos que toma su niño</w:t>
      </w:r>
    </w:p>
    <w:p>
      <w:pPr>
        <w:pStyle w:val="List 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Suspenda ibuprofeno, Motrin, Advil, Aleve y otros medicamentos antiinflamatorios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2 días antes</w:t>
      </w:r>
    </w:p>
    <w:p>
      <w:pPr>
        <w:pStyle w:val="List 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Suspenda medicamentos con hierro o antidiarreicos (Imodium, Kaopectate)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7 días antes</w:t>
      </w:r>
    </w:p>
    <w:p>
      <w:pPr>
        <w:pStyle w:val="List 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Dé los medicamentos rutinarios de la mañana con un sorbo pequeño de agua a menos que se le indique lo contrario</w:t>
      </w:r>
    </w:p>
    <w:p>
      <w:pPr>
        <w:pStyle w:val="List Paragraph"/>
      </w:pPr>
    </w:p>
    <w:tbl>
      <w:tblPr>
        <w:tblW w:w="934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4670"/>
        <w:gridCol w:w="4670"/>
      </w:tblGrid>
      <w:tr>
        <w:trPr/>
        <w:tc>
          <w:tcPr>
            <w:tcW w:type="dxa" w:w="9340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eastAsia="Apple Color Emoji" w:hint="eastAsia"/>
                <w:b w:val="1"/>
                <w:bCs w:val="1"/>
                <w:color w:val="2e75b6"/>
                <w:sz w:val="24"/>
                <w:szCs w:val="24"/>
              </w:rPr>
              <w:t>📅</w:t>
            </w:r>
            <w:r>
              <w:rPr>
                <w:rFonts w:ascii="Arial" w:hAnsi="Arial"/>
                <w:b w:val="1"/>
                <w:bCs w:val="1"/>
                <w:color w:val="2e75b6"/>
                <w:sz w:val="24"/>
                <w:szCs w:val="24"/>
                <w:lang w:val="en-US"/>
              </w:rPr>
              <w:t xml:space="preserve">  3 Días Antes — Dieta Baja en Residuos</w:t>
            </w:r>
          </w:p>
        </w:tc>
      </w:tr>
      <w:tr>
        <w:tblPrEx>
          <w:shd w:val="clear" w:color="auto" w:fill="auto"/>
        </w:tblPrEx>
        <w:trPr>
          <w:trHeight w:val="462" w:hRule="atLeast"/>
          <w:tblHeader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04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sz w:val="20"/>
                <w:szCs w:val="20"/>
                <w:u w:color="d9534f"/>
                <w:rtl w:val="0"/>
                <w:lang w:val="nl-NL"/>
                <w14:textFill>
                  <w14:solidFill>
                    <w14:srgbClr w14:val="D9534F"/>
                  </w14:solidFill>
                </w14:textFill>
              </w:rPr>
              <w:t>EVITAR: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12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0"/>
                <w:szCs w:val="20"/>
                <w:u w:color="4caf50"/>
                <w:rtl w:val="0"/>
                <w14:textFill>
                  <w14:solidFill>
                    <w14:srgbClr w14:val="4CAF50"/>
                  </w14:solidFill>
                </w14:textFill>
              </w:rPr>
              <w:t>PERMITIDO COMER:</w:t>
            </w:r>
          </w:p>
        </w:tc>
      </w:tr>
      <w:tr>
        <w:tblPrEx>
          <w:shd w:val="clear" w:color="auto" w:fill="auto"/>
        </w:tblPrEx>
        <w:trPr>
          <w:trHeight w:val="1142" w:hRule="atLeast"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e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5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Granos integrales, nueces, semillas</w:t>
            </w:r>
          </w:p>
          <w:p>
            <w:pPr>
              <w:pStyle w:val="List Paragraph"/>
              <w:numPr>
                <w:ilvl w:val="0"/>
                <w:numId w:val="5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Frutas y verduras crudas</w:t>
            </w:r>
          </w:p>
          <w:p>
            <w:pPr>
              <w:pStyle w:val="List Paragraph"/>
              <w:numPr>
                <w:ilvl w:val="0"/>
                <w:numId w:val="5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Maíz, frijoles, palomitas de maíz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Arroz blanco, pasta, papas (sin cáscara)</w:t>
            </w:r>
          </w:p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Plátanos, melones, verduras cocidas</w:t>
            </w:r>
          </w:p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Huevos, pollo, pescado</w:t>
            </w:r>
          </w:p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Yogur, budín</w:t>
            </w:r>
          </w:p>
        </w:tc>
      </w:tr>
    </w:tbl>
    <w:tbl>
      <w:tblPr>
        <w:tblW w:w="934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4670"/>
        <w:gridCol w:w="4670"/>
      </w:tblGrid>
      <w:tr>
        <w:trPr/>
        <w:tc>
          <w:tcPr>
            <w:tcW w:type="dxa" w:w="9340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eastAsia="Apple Color Emoji" w:hint="eastAsia"/>
                <w:b w:val="1"/>
                <w:bCs w:val="1"/>
                <w:color w:val="2e75b6"/>
                <w:sz w:val="24"/>
                <w:szCs w:val="24"/>
              </w:rPr>
              <w:t>📅</w:t>
            </w:r>
            <w:r>
              <w:rPr>
                <w:rFonts w:ascii="Arial" w:hAnsi="Arial"/>
                <w:b w:val="1"/>
                <w:bCs w:val="1"/>
                <w:color w:val="2e75b6"/>
                <w:sz w:val="24"/>
                <w:szCs w:val="24"/>
                <w:lang w:val="en-US"/>
              </w:rPr>
              <w:t xml:space="preserve">  1 Día Antes — Baja en Residuos Hasta el Almuerzo</w:t>
            </w:r>
          </w:p>
        </w:tc>
      </w:tr>
      <w:tr>
        <w:trPr/>
        <w:tc>
          <w:tcPr>
            <w:tcW w:type="dxa" w:w="934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ascii="Arial" w:hAnsi="Arial"/>
                <w:b w:val="1"/>
                <w:bCs w:val="1"/>
                <w:color w:val="2e75b6"/>
                <w:sz w:val="20"/>
                <w:szCs w:val="20"/>
                <w:rtl w:val="0"/>
                <w:lang w:val="en-US"/>
                <w14:textFill>
                  <w14:solidFill>
                    <w14:srgbClr w14:val="2E75B6"/>
                  </w14:solidFill>
                </w14:textFill>
              </w:rPr>
              <w:t>Después de las 2:00 PM — Solo Líquidos Claros</w:t>
            </w:r>
          </w:p>
        </w:tc>
      </w:tr>
      <w:tr>
        <w:tblPrEx>
          <w:shd w:val="clear" w:color="auto" w:fill="auto"/>
        </w:tblPrEx>
        <w:trPr>
          <w:trHeight w:val="462" w:hRule="atLeast"/>
          <w:tblHeader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04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sz w:val="20"/>
                <w:szCs w:val="20"/>
                <w:u w:color="d9534f"/>
                <w:rtl w:val="0"/>
                <w:lang w:val="nl-NL"/>
                <w14:textFill>
                  <w14:solidFill>
                    <w14:srgbClr w14:val="D9534F"/>
                  </w14:solidFill>
                </w14:textFill>
              </w:rPr>
              <w:t>EVITAR: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12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0"/>
                <w:szCs w:val="20"/>
                <w:u w:color="4caf50"/>
                <w:rtl w:val="0"/>
                <w:lang w:val="es-ES_tradnl"/>
                <w14:textFill>
                  <w14:solidFill>
                    <w14:srgbClr w14:val="4CAF50"/>
                  </w14:solidFill>
                </w14:textFill>
              </w:rPr>
              <w:t>PERMITIDO COMER</w:t>
            </w: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0"/>
                <w:szCs w:val="20"/>
                <w:u w:color="4caf50"/>
                <w:rtl w:val="0"/>
                <w:lang w:val="en-US"/>
                <w14:textFill>
                  <w14:solidFill>
                    <w14:srgbClr w14:val="4CAF50"/>
                  </w14:solidFill>
                </w14:textFill>
              </w:rPr>
              <w:t>/BEBER</w:t>
            </w: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0"/>
                <w:szCs w:val="20"/>
                <w:u w:color="4caf50"/>
                <w:rtl w:val="0"/>
                <w14:textFill>
                  <w14:solidFill>
                    <w14:srgbClr w14:val="4CAF50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1142" w:hRule="atLeast"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e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Cualquier comida sólida</w:t>
            </w:r>
          </w:p>
          <w:p>
            <w:pPr>
              <w:pStyle w:val="List 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Lácteos (leche, yogur, helado)</w:t>
            </w:r>
          </w:p>
          <w:p>
            <w:pPr>
              <w:pStyle w:val="List 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Jugos con pulpa</w:t>
            </w:r>
          </w:p>
          <w:p>
            <w:pPr>
              <w:pStyle w:val="List 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Cualquier cosa roja o morada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Agua, jugo de manzana, jugo de uva blanca</w:t>
            </w:r>
          </w:p>
          <w:p>
            <w:pPr>
              <w:pStyle w:val="List 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Limonada, soda clara, caldo claro</w:t>
            </w:r>
          </w:p>
          <w:p>
            <w:pPr>
              <w:pStyle w:val="List 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rtl w:val="0"/>
                <w:lang w:val="en-US"/>
              </w:rPr>
              <w:t>Paletas, gelatina Jell-O simple, té/café sin leche</w:t>
            </w:r>
          </w:p>
        </w:tc>
      </w:tr>
    </w:tbl>
    <w:p>
      <w:pPr>
        <w:pStyle w:val="List Paragraph"/>
      </w:pP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💊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Medicamento para la Preparación (tarde):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la hora de dormir, 2 noches antes del procedimiento </w:t>
      </w:r>
      <w:r>
        <w:rPr>
          <w:rFonts w:ascii="Arial" w:hAnsi="Arial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 xml:space="preserve">Dé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tabletas de Dulcolax ({{DOCX_DULCOLAX_BEDTIME_LONG}})</w:t>
      </w:r>
      <w:r>
        <w:rPr>
          <w:rFonts w:ascii="Arial" w:hAnsi="Arial"/>
          <w:sz w:val="24"/>
          <w:szCs w:val="24"/>
          <w:rtl w:val="0"/>
          <w:lang w:val="en-US"/>
        </w:rPr>
        <w:t xml:space="preserve"> con un sorbo de agua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{{DOCX_DULCOLAX_DAYOF_TIME}}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 xml:space="preserve">Dé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tabletas de Dulcolax ({{DOCX_DULCOLAX_DAYOF_LONG}})</w:t>
      </w:r>
      <w:r>
        <w:rPr>
          <w:rFonts w:ascii="Arial" w:hAnsi="Arial"/>
          <w:sz w:val="24"/>
          <w:szCs w:val="24"/>
          <w:rtl w:val="0"/>
          <w:lang w:val="en-US"/>
        </w:rPr>
        <w:t xml:space="preserve"> con un sorbo de agua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{{DOCX_MIRALAX_TIME}}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 xml:space="preserve">Comience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solución de MiraLAX ({{DOCX_MIRALAX_5PM}}</w:t>
      </w:r>
      <w:r>
        <w:rPr>
          <w:rFonts w:ascii="Arial" w:hAnsi="Arial"/>
          <w:sz w:val="24"/>
          <w:szCs w:val="24"/>
          <w:rtl w:val="0"/>
          <w:lang w:val="en-US"/>
        </w:rPr>
        <w:t xml:space="preserve"> — agite bien, refrigere antes)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Haga que su niño beba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{{DOCX_DRINK_CUP}} cada 30 minutos</w:t>
      </w:r>
      <w:r>
        <w:rPr>
          <w:rFonts w:ascii="Arial" w:hAnsi="Arial"/>
          <w:sz w:val="24"/>
          <w:szCs w:val="24"/>
          <w:rtl w:val="0"/>
          <w:lang w:val="en-US"/>
        </w:rPr>
        <w:t xml:space="preserve"> hasta terminar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Espere diarrea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>esto es normal y significa que la preparación está funcionando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Continúe dando líquidos claros durante el día</w:t>
      </w:r>
    </w:p>
    <w:p>
      <w:pPr>
        <w:pStyle w:val="List Paragraph"/>
      </w:pP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Día del Procedimiento</w:t>
      </w:r>
    </w:p>
    <w:p>
      <w:pPr>
        <w:pStyle w:val="List 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Nada de comer o beber 8 horas antes</w:t>
      </w:r>
      <w:r>
        <w:rPr>
          <w:rFonts w:ascii="Arial" w:hAnsi="Arial"/>
          <w:sz w:val="24"/>
          <w:szCs w:val="24"/>
          <w:rtl w:val="0"/>
          <w:lang w:val="en-US"/>
        </w:rPr>
        <w:t xml:space="preserve"> del procedimiento</w:t>
      </w:r>
    </w:p>
    <w:p>
      <w:pPr>
        <w:pStyle w:val="List 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Hasta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2 horas antes</w:t>
      </w:r>
      <w:r>
        <w:rPr>
          <w:rFonts w:ascii="Arial" w:hAnsi="Arial"/>
          <w:sz w:val="24"/>
          <w:szCs w:val="24"/>
          <w:rtl w:val="0"/>
          <w:lang w:val="en-US"/>
        </w:rPr>
        <w:t>, su niño puede tomar 1 taza (8 oz) de líquido claro</w:t>
      </w:r>
    </w:p>
    <w:p>
      <w:pPr>
        <w:pStyle w:val="List 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Traiga artículos de confort para su niño (juguete, manta, tableta, etc.)</w:t>
      </w:r>
    </w:p>
    <w:p>
      <w:pPr>
        <w:pStyle w:val="List Paragraph"/>
      </w:pPr>
      <w:r>
        <w:rPr>
          <w:rFonts w:ascii="Apple Color Emoji" w:hAnsi="Apple Color Emoji" w:hint="default"/>
          <w:sz w:val="24"/>
          <w:szCs w:val="24"/>
          <w:rtl w:val="0"/>
        </w:rPr>
        <w:t>⚠</w:t>
      </w:r>
      <w:r>
        <w:rPr>
          <w:rFonts w:ascii="Arial Unicode MS" w:hAnsi="Arial Unicode MS"/>
          <w:sz w:val="24"/>
          <w:szCs w:val="24"/>
          <w:rtl w:val="0"/>
        </w:rPr>
        <w:t>️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 Si la preparación no se sigue exactamente, la colonoscopia puede ser retrasada o cancelada</w:t>
      </w:r>
    </w:p>
    <w:p>
      <w:pPr>
        <w:pStyle w:val="List Paragraph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341" w:hRule="atLeast"/>
        </w:trPr>
        <w:tc>
          <w:tcPr>
            <w:tcW w:type="dxa" w:w="9360"/>
            <w:tcBorders>
              <w:top w:val="single" w:color="ff9900" w:sz="4" w:space="0" w:shadow="0" w:frame="0"/>
              <w:left w:val="single" w:color="ff9900" w:sz="4" w:space="0" w:shadow="0" w:frame="0"/>
              <w:bottom w:val="single" w:color="ff9900" w:sz="4" w:space="0" w:shadow="0" w:frame="0"/>
              <w:right w:val="single" w:color="ff9900" w:sz="4" w:space="0" w:shadow="0" w:frame="0"/>
            </w:tcBorders>
            <w:shd w:val="clear" w:color="auto" w:fill="fff4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ple Color Emoji" w:hAnsi="Apple Color Emoji" w:hint="default"/>
                <w:sz w:val="24"/>
                <w:szCs w:val="24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hAnsi="Arial Unicode MS"/>
                <w:sz w:val="24"/>
                <w:szCs w:val="24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  ¿A su niño le recetaron una pre-limpieza para el estreñimiento?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Si su doctor le indicó comenzar una pre-limpieza, esto es lo que debe hacer: Dé a su niño MiraLAX diariamente </w:t>
            </w:r>
            <w:r>
              <w:rPr>
                <w:rFonts w:ascii="Arial" w:hAnsi="Arial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{{DOCX_PRECLEANOUT}}</w:t>
            </w:r>
            <w:r>
              <w:rPr>
                <w:rFonts w:ascii="Arial" w:hAnsi="Arial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 — </w:t>
            </w: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durante 3</w:t>
            </w:r>
            <w:r>
              <w:rPr>
                <w:rFonts w:ascii="Arial" w:hAnsi="Arial" w:hint="default"/>
                <w:sz w:val="24"/>
                <w:szCs w:val="24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 días antes de comenzar las instrucciones de preparación regular arriba.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i w:val="1"/>
                <w:i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Si no está seguro si su niño necesita una pre-limpieza, envíenos un mensaje a través del portal del paciente o llame a la oficina.</w:t>
            </w:r>
          </w:p>
        </w:tc>
      </w:tr>
    </w:tbl>
    <w:p>
      <w:pPr>
        <w:pStyle w:val="List Paragraph"/>
        <w:widowControl w:val="0"/>
      </w:pPr>
    </w:p>
    <w:p>
      <w:pPr>
        <w:pStyle w:val="List Paragraph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641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widowControl w:val="0"/>
            </w:pPr>
            <w:r>
              <w:rPr>
                <w:rFonts w:ascii="Arial" w:hAnsi="Arial"/>
                <w:b w:val="1"/>
                <w:bCs w:val="1"/>
                <w:outline w:val="0"/>
                <w:color w:val="2e75b6"/>
                <w:sz w:val="24"/>
                <w:szCs w:val="24"/>
                <w:u w:color="2e75b6"/>
                <w:rtl w:val="0"/>
                <w:lang w:val="en-US"/>
                <w14:textFill>
                  <w14:solidFill>
                    <w14:srgbClr w14:val="2E75B6"/>
                  </w14:solidFill>
                </w14:textFill>
              </w:rPr>
              <w:t>Recursos Útiles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Hyperlink.0"/>
                <w:rFonts w:ascii="Apple Color Emoji" w:cs="Apple Color Emoji" w:hAnsi="Apple Color Emoji" w:eastAsia="Apple Color Emoji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pple Color Emoji" w:cs="Apple Color Emoji" w:hAnsi="Apple Color Emoji" w:eastAsia="Apple Color Emoji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"http://www.youtube.com/watch?v=dT3HPrMFwDc"</w:instrText>
            </w:r>
            <w:r>
              <w:rPr>
                <w:rStyle w:val="Hyperlink.0"/>
                <w:rFonts w:ascii="Apple Color Emoji" w:cs="Apple Color Emoji" w:hAnsi="Apple Color Emoji" w:eastAsia="Apple Color Emoji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eastAsia="Apple Color Emoji" w:hint="eastAsia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🎥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Vea: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Cómo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prepararse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para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la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colonoscopia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de su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niño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fldChar w:fldCharType="end" w:fldLock="0"/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14:textFill>
                  <w14:solidFill>
                    <w14:srgbClr w14:val="0563C1"/>
                  </w14:solidFill>
                </w14:textFill>
              </w:rPr>
              <w:instrText xml:space="preserve"> HYPERLINK "https://gikids.org/tests-procedures/colonoscopy/"</w:instrText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Arial" w:hAnsi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Aprenda más sobre la colonoscopia pediátrica (GIKids.org)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</w:rPr>
              <w:fldChar w:fldCharType="end" w:fldLock="0"/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762000"/>
                  <wp:effectExtent l="0" t="0" r="0" b="0"/>
                  <wp:docPr id="1073741828" name="officeArt object" descr="QR&#10;&#10;Escanee para ver el video de preparació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QREscanee para ver el video de preparación" descr="QREscanee para ver el video de preparació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Escanee para ver el video de preparación</w:t>
            </w:r>
          </w:p>
        </w:tc>
      </w:tr>
    </w:tbl>
    <w:p>
      <w:pPr>
        <w:pStyle w:val="List Paragraph"/>
        <w:widowControl w:val="0"/>
      </w:pPr>
    </w:p>
    <w:p>
      <w:pPr>
        <w:pStyle w:val="List Paragraph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856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widowControl w:val="0"/>
            </w:pPr>
            <w:r>
              <w:rPr>
                <w:rFonts w:ascii="Arial" w:hAnsi="Arial"/>
                <w:b w:val="1"/>
                <w:bCs w:val="1"/>
                <w:outline w:val="0"/>
                <w:color w:val="2e75b6"/>
                <w:sz w:val="24"/>
                <w:szCs w:val="24"/>
                <w:u w:color="2e75b6"/>
                <w:rtl w:val="0"/>
                <w:lang w:val="it-IT"/>
                <w14:textFill>
                  <w14:solidFill>
                    <w14:srgbClr w14:val="2E75B6"/>
                  </w14:solidFill>
                </w14:textFill>
              </w:rPr>
              <w:t>¿Preguntas?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"https://healthcare.ascension.org/patient-portal/indiana-ascension-st-vincent"</w:instrText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Arial" w:hAnsi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Envíenos un mensaje a través del portal del paciente (método preferido)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fldChar w:fldCharType="end" w:fldLock="0"/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Para asuntos urgentes, llame al (317) 338-9450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762000"/>
                  <wp:effectExtent l="0" t="0" r="0" b="0"/>
                  <wp:docPr id="1073741829" name="officeArt object" descr="QR&#10;&#10;Escanee para el portal del paci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QREscanee para el portal del paciente" descr="QREscanee para el portal del pacient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Escanee para el portal del paciente</w:t>
            </w:r>
          </w:p>
        </w:tc>
      </w:tr>
    </w:tbl>
    <w:p>
      <w:pPr>
        <w:pStyle w:val="List Paragraph"/>
        <w:pageBreakBefore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🍎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Dieta Baja en Residuos — Comidas Ejemplo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Estas son ideas de comidas para la dieta baja en residuos (también llamada "dieta blanca"). Continúe esta dieta durante los 3 días antes del procedimiento, hasta el almuerzo del día anterior. Después de las 2:00 PM del día anterior, cambie a solo líquidos claros — sin lácteos.</w:t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Desayuno (mañana)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Huevos revueltos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Pan tostado blanco con mantequilla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Plátano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Yogur (sin semillas ni bayas)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Jugo de manzana</w:t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Almuerzo (~mediodía)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Sándwich de pollo simple en pan blanco (sin verduras)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Macarrones con queso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Arroz blanco con pollo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Pasta simple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Puré de manzana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Budín de vainilla</w:t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Después del almuerzo (a partir de las 2:00 PM)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Solo líquidos claros (vea la página 2 para las bebidas permitidas)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No más lácteos — leche, yogur, helado, etc.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Apple Color Emoji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sz w:val="18"/>
        <w:szCs w:val="18"/>
        <w:rtl w:val="0"/>
        <w:lang w:val="da-DK"/>
      </w:rPr>
      <w:t>¿Preguntas? Llame al (317) 338-9450</w:t>
      <w:tab/>
      <w:t xml:space="preserve">Página </w:t>
    </w:r>
    <w:r>
      <w:rPr>
        <w:rFonts w:ascii="Arial" w:cs="Arial" w:hAnsi="Arial" w:eastAsia="Arial"/>
        <w:sz w:val="18"/>
        <w:szCs w:val="18"/>
      </w:rPr>
      <w:fldChar w:fldCharType="begin" w:fldLock="0"/>
    </w:r>
    <w:r>
      <w:rPr>
        <w:rFonts w:ascii="Arial" w:cs="Arial" w:hAnsi="Arial" w:eastAsia="Arial"/>
        <w:sz w:val="18"/>
        <w:szCs w:val="18"/>
      </w:rPr>
      <w:instrText xml:space="preserve"> PAGE </w:instrText>
    </w:r>
    <w:r>
      <w:rPr>
        <w:rFonts w:ascii="Arial" w:cs="Arial" w:hAnsi="Arial" w:eastAsia="Arial"/>
        <w:sz w:val="18"/>
        <w:szCs w:val="18"/>
      </w:rPr>
      <w:fldChar w:fldCharType="separate" w:fldLock="0"/>
    </w:r>
    <w:r>
      <w:rPr>
        <w:rFonts w:ascii="Arial" w:cs="Arial" w:hAnsi="Arial" w:eastAsia="Arial"/>
        <w:sz w:val="18"/>
        <w:szCs w:val="18"/>
      </w:rPr>
    </w:r>
    <w:r>
      <w:rPr>
        <w:rFonts w:ascii="Arial" w:cs="Arial" w:hAnsi="Arial" w:eastAsia="Arial"/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3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342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lvlJc w:val="left"/>
      <w:pPr>
        <w:ind w:left="3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lvlJc w:val="left"/>
      <w:pPr>
        <w:ind w:left="342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7"/>
  </w:abstractNum>
  <w:abstractNum w:abstractNumId="9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8"/>
  </w:abstractNum>
  <w:abstractNum w:abstractNumId="11">
    <w:multiLevelType w:val="hybridMultilevel"/>
    <w:styleLink w:val="Imported Style 8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7">
    <w:name w:val="Imported Style 7"/>
    <w:pPr>
      <w:numPr>
        <w:numId w:val="9"/>
      </w:numPr>
    </w:pPr>
  </w:style>
  <w:style w:type="numbering" w:styleId="Imported Style 8">
    <w:name w:val="Imported Style 8"/>
    <w:pPr>
      <w:numPr>
        <w:numId w:val="1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Apple Color Emoji" w:cs="Apple Color Emoji" w:hAnsi="Apple Color Emoji" w:eastAsia="Apple Color Emoji"/>
      <w:sz w:val="22"/>
      <w:szCs w:val="22"/>
      <w:shd w:val="nil" w:color="auto" w:fill="auto"/>
    </w:rPr>
  </w:style>
  <w:style w:type="character" w:styleId="Hyperlink.1">
    <w:name w:val="Hyperlink.1"/>
    <w:basedOn w:val="Link"/>
    <w:next w:val="Hyperlink.1"/>
    <w:rPr>
      <w:rFonts w:ascii="Arial" w:cs="Arial" w:hAnsi="Arial" w:eastAsia="Arial"/>
      <w:sz w:val="22"/>
      <w:szCs w:val="22"/>
      <w:shd w:val="nil" w:color="auto" w:fil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Relationship Id="rId13" Type="http://schemas.openxmlformats.org/officeDocument/2006/relationships/image" Target="media/mobile-qr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