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0"/>
        </w:rPr>
        <w:t>REYEL 16 PAYAJ</w:t>
      </w:r>
    </w:p>
    <w:p>
      <w:pPr>
        <w:jc w:val="center"/>
      </w:pPr>
      <w:r>
        <w:rPr>
          <w:b/>
          <w:color w:val="24527A"/>
          <w:sz w:val="32"/>
        </w:rPr>
        <w:t>ARCHITECTURE TECHNIQUE ET PLAN DE DÉVELOPPEMENT</w:t>
      </w:r>
    </w:p>
    <w:p>
      <w:pPr>
        <w:spacing w:before="240"/>
        <w:jc w:val="center"/>
      </w:pPr>
      <w:r>
        <w:rPr>
          <w:sz w:val="24"/>
        </w:rPr>
        <w:t>Première version : paris sportifs — site web responsive et panneau d’administration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Élément</w:t>
            </w:r>
          </w:p>
        </w:tc>
        <w:tc>
          <w:tcPr>
            <w:tcW w:type="dxa" w:w="4968"/>
            <w:vAlign w:val="center"/>
            <w:shd w:fill="17365D"/>
          </w:tcPr>
          <w:p>
            <w:pPr>
              <w:spacing w:after="20"/>
            </w:pPr>
            <w:r/>
            <w:r>
              <w:rPr>
                <w:rFonts w:ascii="Aptos" w:hAnsi="Aptos"/>
                <w:b/>
                <w:color w:val="FFFFFF"/>
                <w:sz w:val="18"/>
              </w:rPr>
              <w:t>Décision de cadrage</w:t>
            </w:r>
          </w:p>
        </w:tc>
      </w:tr>
      <w:tr>
        <w:tc>
          <w:tcPr>
            <w:tcW w:type="dxa" w:w="4968"/>
            <w:vAlign w:val="center"/>
          </w:tcPr>
          <w:p>
            <w:pPr>
              <w:spacing w:after="20"/>
            </w:pPr>
            <w:r/>
            <w:r>
              <w:rPr>
                <w:rFonts w:ascii="Aptos" w:hAnsi="Aptos"/>
                <w:b w:val="0"/>
                <w:sz w:val="17"/>
              </w:rPr>
              <w:t>Produit initial</w:t>
            </w:r>
          </w:p>
        </w:tc>
        <w:tc>
          <w:tcPr>
            <w:tcW w:type="dxa" w:w="4968"/>
            <w:vAlign w:val="center"/>
          </w:tcPr>
          <w:p>
            <w:pPr>
              <w:spacing w:after="20"/>
            </w:pPr>
            <w:r/>
            <w:r>
              <w:rPr>
                <w:rFonts w:ascii="Aptos" w:hAnsi="Aptos"/>
                <w:b w:val="0"/>
                <w:sz w:val="17"/>
              </w:rPr>
              <w:t>Plateforme de paris sportifs, sans application mobile native dans la première phase.</w:t>
            </w:r>
          </w:p>
        </w:tc>
      </w:tr>
      <w:tr>
        <w:tc>
          <w:tcPr>
            <w:tcW w:type="dxa" w:w="4968"/>
            <w:vAlign w:val="center"/>
            <w:shd w:fill="F2F5F8"/>
          </w:tcPr>
          <w:p>
            <w:pPr>
              <w:spacing w:after="20"/>
            </w:pPr>
            <w:r/>
            <w:r>
              <w:rPr>
                <w:rFonts w:ascii="Aptos" w:hAnsi="Aptos"/>
                <w:b w:val="0"/>
                <w:sz w:val="17"/>
              </w:rPr>
              <w:t>Interfaces</w:t>
            </w:r>
          </w:p>
        </w:tc>
        <w:tc>
          <w:tcPr>
            <w:tcW w:type="dxa" w:w="4968"/>
            <w:vAlign w:val="center"/>
            <w:shd w:fill="F2F5F8"/>
          </w:tcPr>
          <w:p>
            <w:pPr>
              <w:spacing w:after="20"/>
            </w:pPr>
            <w:r/>
            <w:r>
              <w:rPr>
                <w:rFonts w:ascii="Aptos" w:hAnsi="Aptos"/>
                <w:b w:val="0"/>
                <w:sz w:val="17"/>
              </w:rPr>
              <w:t>Site public responsive + espace joueur + panneau d’administration sécurisé.</w:t>
            </w:r>
          </w:p>
        </w:tc>
      </w:tr>
      <w:tr>
        <w:tc>
          <w:tcPr>
            <w:tcW w:type="dxa" w:w="4968"/>
            <w:vAlign w:val="center"/>
          </w:tcPr>
          <w:p>
            <w:pPr>
              <w:spacing w:after="20"/>
            </w:pPr>
            <w:r/>
            <w:r>
              <w:rPr>
                <w:rFonts w:ascii="Aptos" w:hAnsi="Aptos"/>
                <w:b w:val="0"/>
                <w:sz w:val="17"/>
              </w:rPr>
              <w:t>Architecture proposée</w:t>
            </w:r>
          </w:p>
        </w:tc>
        <w:tc>
          <w:tcPr>
            <w:tcW w:type="dxa" w:w="4968"/>
            <w:vAlign w:val="center"/>
          </w:tcPr>
          <w:p>
            <w:pPr>
              <w:spacing w:after="20"/>
            </w:pPr>
            <w:r/>
            <w:r>
              <w:rPr>
                <w:rFonts w:ascii="Aptos" w:hAnsi="Aptos"/>
                <w:b w:val="0"/>
                <w:sz w:val="17"/>
              </w:rPr>
              <w:t>Monolithe modulaire avec API versionnée ; éviter les microservices au démarrage.</w:t>
            </w:r>
          </w:p>
        </w:tc>
      </w:tr>
      <w:tr>
        <w:tc>
          <w:tcPr>
            <w:tcW w:type="dxa" w:w="4968"/>
            <w:vAlign w:val="center"/>
            <w:shd w:fill="F2F5F8"/>
          </w:tcPr>
          <w:p>
            <w:pPr>
              <w:spacing w:after="20"/>
            </w:pPr>
            <w:r/>
            <w:r>
              <w:rPr>
                <w:rFonts w:ascii="Aptos" w:hAnsi="Aptos"/>
                <w:b w:val="0"/>
                <w:sz w:val="17"/>
              </w:rPr>
              <w:t>Stack proposée</w:t>
            </w:r>
          </w:p>
        </w:tc>
        <w:tc>
          <w:tcPr>
            <w:tcW w:type="dxa" w:w="4968"/>
            <w:vAlign w:val="center"/>
            <w:shd w:fill="F2F5F8"/>
          </w:tcPr>
          <w:p>
            <w:pPr>
              <w:spacing w:after="20"/>
            </w:pPr>
            <w:r/>
            <w:r>
              <w:rPr>
                <w:rFonts w:ascii="Aptos" w:hAnsi="Aptos"/>
                <w:b w:val="0"/>
                <w:sz w:val="17"/>
              </w:rPr>
              <w:t>Laravel/PHP, React + TypeScript, PostgreSQL, Redis et file de tâches.</w:t>
            </w:r>
          </w:p>
        </w:tc>
      </w:tr>
      <w:tr>
        <w:tc>
          <w:tcPr>
            <w:tcW w:type="dxa" w:w="4968"/>
            <w:vAlign w:val="center"/>
          </w:tcPr>
          <w:p>
            <w:pPr>
              <w:spacing w:after="20"/>
            </w:pPr>
            <w:r/>
            <w:r>
              <w:rPr>
                <w:rFonts w:ascii="Aptos" w:hAnsi="Aptos"/>
                <w:b w:val="0"/>
                <w:sz w:val="17"/>
              </w:rPr>
              <w:t>Statut</w:t>
            </w:r>
          </w:p>
        </w:tc>
        <w:tc>
          <w:tcPr>
            <w:tcW w:type="dxa" w:w="4968"/>
            <w:vAlign w:val="center"/>
          </w:tcPr>
          <w:p>
            <w:pPr>
              <w:spacing w:after="20"/>
            </w:pPr>
            <w:r/>
            <w:r>
              <w:rPr>
                <w:rFonts w:ascii="Aptos" w:hAnsi="Aptos"/>
                <w:b w:val="0"/>
                <w:sz w:val="17"/>
              </w:rPr>
              <w:t>Proposition à valider par le propriétaire du projet avant le développement.</w:t>
            </w:r>
          </w:p>
        </w:tc>
      </w:tr>
    </w:tbl>
    <w:p/>
    <w:p>
      <w:pPr>
        <w:jc w:val="center"/>
      </w:pPr>
      <w:r>
        <w:rPr>
          <w:i/>
        </w:rPr>
        <w:t>Azed Group — Document destiné à l’équipe de programmation</w:t>
      </w:r>
    </w:p>
    <w:p>
      <w:r>
        <w:br w:type="page"/>
      </w:r>
    </w:p>
    <w:p>
      <w:pPr>
        <w:pStyle w:val="Heading1"/>
      </w:pPr>
      <w:r>
        <w:t>1. Objectif et périmètre de la première version</w:t>
      </w:r>
    </w:p>
    <w:p>
      <w:r>
        <w:t>Ce document traduit le choix du projet — paris sportifs, site web et panneau d’administration — en une architecture exploitable par l’équipe technique. Il complète le plan technique initial de REYEL 16 PAYAJ. Les règles commerciales, les fournisseurs et les autorisations ne sont pas considérés comme acquis tant qu’ils ne sont pas validés.</w:t>
      </w:r>
    </w:p>
    <w:p>
      <w:pPr>
        <w:pStyle w:val="Heading2"/>
      </w:pPr>
      <w:r>
        <w:t>1.1 Inclus dans la première livraison</w:t>
      </w:r>
    </w:p>
    <w:p>
      <w:pPr>
        <w:pStyle w:val="ListBullet"/>
        <w:spacing w:after="40"/>
      </w:pPr>
      <w:r>
        <w:t>Site public : accueil, sports, compétitions, matchs, marchés et cotes disponibles.</w:t>
      </w:r>
    </w:p>
    <w:p>
      <w:pPr>
        <w:pStyle w:val="ListBullet"/>
        <w:spacing w:after="40"/>
      </w:pPr>
      <w:r>
        <w:t>Création de compte, connexion, récupération du compte, profil et gestion de session.</w:t>
      </w:r>
    </w:p>
    <w:p>
      <w:pPr>
        <w:pStyle w:val="ListBullet"/>
        <w:spacing w:after="40"/>
      </w:pPr>
      <w:r>
        <w:t>Coupon de pari : sélection de marchés, affichage des cotes, validation et confirmation du ticket.</w:t>
      </w:r>
    </w:p>
    <w:p>
      <w:pPr>
        <w:pStyle w:val="ListBullet"/>
        <w:spacing w:after="40"/>
      </w:pPr>
      <w:r>
        <w:t>Historique des tickets et affichage de leur statut.</w:t>
      </w:r>
    </w:p>
    <w:p>
      <w:pPr>
        <w:pStyle w:val="ListBullet"/>
        <w:spacing w:after="40"/>
      </w:pPr>
      <w:r>
        <w:t>Portefeuille transactionnel préparé pour les opérations autorisées, avec registre d’écritures auditable.</w:t>
      </w:r>
    </w:p>
    <w:p>
      <w:pPr>
        <w:pStyle w:val="ListBullet"/>
        <w:spacing w:after="40"/>
      </w:pPr>
      <w:r>
        <w:t>Panneau d’administration : utilisateurs, événements, marchés, tickets, règlements, limites, rapports et audit selon permissions.</w:t>
      </w:r>
    </w:p>
    <w:p>
      <w:pPr>
        <w:pStyle w:val="ListBullet"/>
        <w:spacing w:after="40"/>
      </w:pPr>
      <w:r>
        <w:t>Connecteur fournisseur de données sportives/cotes, avec gestion de disponibilité, fraîcheur et erreurs.</w:t>
      </w:r>
    </w:p>
    <w:p>
      <w:pPr>
        <w:pStyle w:val="ListBullet"/>
        <w:spacing w:after="40"/>
      </w:pPr>
      <w:r>
        <w:t>Environnements Development, Staging et Production, tests, surveillance et sauvegardes.</w:t>
      </w:r>
    </w:p>
    <w:p>
      <w:pPr>
        <w:pStyle w:val="Heading2"/>
      </w:pPr>
      <w:r>
        <w:t>1.2 Hors périmètre par défaut</w:t>
      </w:r>
    </w:p>
    <w:p>
      <w:pPr>
        <w:pStyle w:val="ListBullet"/>
        <w:spacing w:after="40"/>
      </w:pPr>
      <w:r>
        <w:t>Application iOS/Android native : phase ultérieure.</w:t>
      </w:r>
    </w:p>
    <w:p>
      <w:pPr>
        <w:pStyle w:val="ListBullet"/>
        <w:spacing w:after="40"/>
      </w:pPr>
      <w:r>
        <w:t>Casino, loto/borlette, courses, streaming et paris en direct : à exclure de la V1 sauf décision explicite et intégrations validées.</w:t>
      </w:r>
    </w:p>
    <w:p>
      <w:pPr>
        <w:pStyle w:val="ListBullet"/>
        <w:spacing w:after="40"/>
      </w:pPr>
      <w:r>
        <w:t>Paiements réels, retraits et activation du wagering : bloqués jusqu’à validation juridique, contractuelle et fournisseur.</w:t>
      </w:r>
    </w:p>
    <w:p>
      <w:pPr>
        <w:pStyle w:val="ListBullet"/>
        <w:spacing w:after="40"/>
      </w:pPr>
      <w:r>
        <w:t>Automatisation du règlement à partir d’une source non vérifiée ou d’une saisie non autorisée.</w:t>
      </w:r>
    </w:p>
    <w:p>
      <w:pPr>
        <w:pStyle w:val="Heading1"/>
      </w:pPr>
      <w:r>
        <w:t>2. Choix d’architecture recommandé</w:t>
      </w:r>
    </w:p>
    <w:p>
      <w:r>
        <w:t>Pour la première version, utiliser un monolithe modulaire. Les modules sont séparés dans le code, mais déployés comme une application backend cohérente. Cette approche limite les coûts opérationnels, simplifie les transactions de base de données et permet d’extraire ultérieurement certains modules si le trafic l’exige.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Couche</w:t>
            </w:r>
          </w:p>
        </w:tc>
        <w:tc>
          <w:tcPr>
            <w:tcW w:type="dxa" w:w="3312"/>
            <w:vAlign w:val="center"/>
            <w:shd w:fill="17365D"/>
          </w:tcPr>
          <w:p>
            <w:pPr>
              <w:spacing w:after="20"/>
            </w:pPr>
            <w:r/>
            <w:r>
              <w:rPr>
                <w:rFonts w:ascii="Aptos" w:hAnsi="Aptos"/>
                <w:b/>
                <w:color w:val="FFFFFF"/>
                <w:sz w:val="18"/>
              </w:rPr>
              <w:t>Technologie proposée</w:t>
            </w:r>
          </w:p>
        </w:tc>
        <w:tc>
          <w:tcPr>
            <w:tcW w:type="dxa" w:w="3312"/>
            <w:vAlign w:val="center"/>
            <w:shd w:fill="17365D"/>
          </w:tcPr>
          <w:p>
            <w:pPr>
              <w:spacing w:after="20"/>
            </w:pPr>
            <w:r/>
            <w:r>
              <w:rPr>
                <w:rFonts w:ascii="Aptos" w:hAnsi="Aptos"/>
                <w:b/>
                <w:color w:val="FFFFFF"/>
                <w:sz w:val="18"/>
              </w:rPr>
              <w:t>Responsabilités et règles</w:t>
            </w:r>
          </w:p>
        </w:tc>
      </w:tr>
      <w:tr>
        <w:tc>
          <w:tcPr>
            <w:tcW w:type="dxa" w:w="3312"/>
            <w:vAlign w:val="center"/>
          </w:tcPr>
          <w:p>
            <w:pPr>
              <w:spacing w:after="20"/>
            </w:pPr>
            <w:r/>
            <w:r>
              <w:rPr>
                <w:rFonts w:ascii="Aptos" w:hAnsi="Aptos"/>
                <w:b w:val="0"/>
                <w:sz w:val="17"/>
              </w:rPr>
              <w:t>Frontend web</w:t>
            </w:r>
          </w:p>
        </w:tc>
        <w:tc>
          <w:tcPr>
            <w:tcW w:type="dxa" w:w="3312"/>
            <w:vAlign w:val="center"/>
          </w:tcPr>
          <w:p>
            <w:pPr>
              <w:spacing w:after="20"/>
            </w:pPr>
            <w:r/>
            <w:r>
              <w:rPr>
                <w:rFonts w:ascii="Aptos" w:hAnsi="Aptos"/>
                <w:b w:val="0"/>
                <w:sz w:val="17"/>
              </w:rPr>
              <w:t>React + TypeScript</w:t>
            </w:r>
          </w:p>
        </w:tc>
        <w:tc>
          <w:tcPr>
            <w:tcW w:type="dxa" w:w="3312"/>
            <w:vAlign w:val="center"/>
          </w:tcPr>
          <w:p>
            <w:pPr>
              <w:spacing w:after="20"/>
            </w:pPr>
            <w:r/>
            <w:r>
              <w:rPr>
                <w:rFonts w:ascii="Aptos" w:hAnsi="Aptos"/>
                <w:b w:val="0"/>
                <w:sz w:val="17"/>
              </w:rPr>
              <w:t>Site joueur et interface admin ; consomme uniquement l’API documentée ; ne décide jamais du solde ni du résultat d’un pari.</w:t>
            </w:r>
          </w:p>
        </w:tc>
      </w:tr>
      <w:tr>
        <w:tc>
          <w:tcPr>
            <w:tcW w:type="dxa" w:w="3312"/>
            <w:vAlign w:val="center"/>
            <w:shd w:fill="F2F5F8"/>
          </w:tcPr>
          <w:p>
            <w:pPr>
              <w:spacing w:after="20"/>
            </w:pPr>
            <w:r/>
            <w:r>
              <w:rPr>
                <w:rFonts w:ascii="Aptos" w:hAnsi="Aptos"/>
                <w:b w:val="0"/>
                <w:sz w:val="17"/>
              </w:rPr>
              <w:t>Backend/API</w:t>
            </w:r>
          </w:p>
        </w:tc>
        <w:tc>
          <w:tcPr>
            <w:tcW w:type="dxa" w:w="3312"/>
            <w:vAlign w:val="center"/>
            <w:shd w:fill="F2F5F8"/>
          </w:tcPr>
          <w:p>
            <w:pPr>
              <w:spacing w:after="20"/>
            </w:pPr>
            <w:r/>
            <w:r>
              <w:rPr>
                <w:rFonts w:ascii="Aptos" w:hAnsi="Aptos"/>
                <w:b w:val="0"/>
                <w:sz w:val="17"/>
              </w:rPr>
              <w:t>Laravel / PHP</w:t>
            </w:r>
          </w:p>
        </w:tc>
        <w:tc>
          <w:tcPr>
            <w:tcW w:type="dxa" w:w="3312"/>
            <w:vAlign w:val="center"/>
            <w:shd w:fill="F2F5F8"/>
          </w:tcPr>
          <w:p>
            <w:pPr>
              <w:spacing w:after="20"/>
            </w:pPr>
            <w:r/>
            <w:r>
              <w:rPr>
                <w:rFonts w:ascii="Aptos" w:hAnsi="Aptos"/>
                <w:b w:val="0"/>
                <w:sz w:val="17"/>
              </w:rPr>
              <w:t>Authentification, autorisations, règles métier, validation, orchestration et API REST versionnée.</w:t>
            </w:r>
          </w:p>
        </w:tc>
      </w:tr>
      <w:tr>
        <w:tc>
          <w:tcPr>
            <w:tcW w:type="dxa" w:w="3312"/>
            <w:vAlign w:val="center"/>
          </w:tcPr>
          <w:p>
            <w:pPr>
              <w:spacing w:after="20"/>
            </w:pPr>
            <w:r/>
            <w:r>
              <w:rPr>
                <w:rFonts w:ascii="Aptos" w:hAnsi="Aptos"/>
                <w:b w:val="0"/>
                <w:sz w:val="17"/>
              </w:rPr>
              <w:t>Base de données</w:t>
            </w:r>
          </w:p>
        </w:tc>
        <w:tc>
          <w:tcPr>
            <w:tcW w:type="dxa" w:w="3312"/>
            <w:vAlign w:val="center"/>
          </w:tcPr>
          <w:p>
            <w:pPr>
              <w:spacing w:after="20"/>
            </w:pPr>
            <w:r/>
            <w:r>
              <w:rPr>
                <w:rFonts w:ascii="Aptos" w:hAnsi="Aptos"/>
                <w:b w:val="0"/>
                <w:sz w:val="17"/>
              </w:rPr>
              <w:t>PostgreSQL</w:t>
            </w:r>
          </w:p>
        </w:tc>
        <w:tc>
          <w:tcPr>
            <w:tcW w:type="dxa" w:w="3312"/>
            <w:vAlign w:val="center"/>
          </w:tcPr>
          <w:p>
            <w:pPr>
              <w:spacing w:after="20"/>
            </w:pPr>
            <w:r/>
            <w:r>
              <w:rPr>
                <w:rFonts w:ascii="Aptos" w:hAnsi="Aptos"/>
                <w:b w:val="0"/>
                <w:sz w:val="17"/>
              </w:rPr>
              <w:t>Comptes, événements synchronisés, tickets, portefeuille, ledger, règlements et audit.</w:t>
            </w:r>
          </w:p>
        </w:tc>
      </w:tr>
      <w:tr>
        <w:tc>
          <w:tcPr>
            <w:tcW w:type="dxa" w:w="3312"/>
            <w:vAlign w:val="center"/>
            <w:shd w:fill="F2F5F8"/>
          </w:tcPr>
          <w:p>
            <w:pPr>
              <w:spacing w:after="20"/>
            </w:pPr>
            <w:r/>
            <w:r>
              <w:rPr>
                <w:rFonts w:ascii="Aptos" w:hAnsi="Aptos"/>
                <w:b w:val="0"/>
                <w:sz w:val="17"/>
              </w:rPr>
              <w:t>Cache / tâches</w:t>
            </w:r>
          </w:p>
        </w:tc>
        <w:tc>
          <w:tcPr>
            <w:tcW w:type="dxa" w:w="3312"/>
            <w:vAlign w:val="center"/>
            <w:shd w:fill="F2F5F8"/>
          </w:tcPr>
          <w:p>
            <w:pPr>
              <w:spacing w:after="20"/>
            </w:pPr>
            <w:r/>
            <w:r>
              <w:rPr>
                <w:rFonts w:ascii="Aptos" w:hAnsi="Aptos"/>
                <w:b w:val="0"/>
                <w:sz w:val="17"/>
              </w:rPr>
              <w:t>Redis + Laravel Queue</w:t>
            </w:r>
          </w:p>
        </w:tc>
        <w:tc>
          <w:tcPr>
            <w:tcW w:type="dxa" w:w="3312"/>
            <w:vAlign w:val="center"/>
            <w:shd w:fill="F2F5F8"/>
          </w:tcPr>
          <w:p>
            <w:pPr>
              <w:spacing w:after="20"/>
            </w:pPr>
            <w:r/>
            <w:r>
              <w:rPr>
                <w:rFonts w:ascii="Aptos" w:hAnsi="Aptos"/>
                <w:b w:val="0"/>
                <w:sz w:val="17"/>
              </w:rPr>
              <w:t>Cache court, tâches asynchrones, synchronisation fournisseur, notifications et traitements relançables.</w:t>
            </w:r>
          </w:p>
        </w:tc>
      </w:tr>
      <w:tr>
        <w:tc>
          <w:tcPr>
            <w:tcW w:type="dxa" w:w="3312"/>
            <w:vAlign w:val="center"/>
          </w:tcPr>
          <w:p>
            <w:pPr>
              <w:spacing w:after="20"/>
            </w:pPr>
            <w:r/>
            <w:r>
              <w:rPr>
                <w:rFonts w:ascii="Aptos" w:hAnsi="Aptos"/>
                <w:b w:val="0"/>
                <w:sz w:val="17"/>
              </w:rPr>
              <w:t>Fichiers</w:t>
            </w:r>
          </w:p>
        </w:tc>
        <w:tc>
          <w:tcPr>
            <w:tcW w:type="dxa" w:w="3312"/>
            <w:vAlign w:val="center"/>
          </w:tcPr>
          <w:p>
            <w:pPr>
              <w:spacing w:after="20"/>
            </w:pPr>
            <w:r/>
            <w:r>
              <w:rPr>
                <w:rFonts w:ascii="Aptos" w:hAnsi="Aptos"/>
                <w:b w:val="0"/>
                <w:sz w:val="17"/>
              </w:rPr>
              <w:t>Stockage privé compatible S3 ou stockage privé du fournisseur</w:t>
            </w:r>
          </w:p>
        </w:tc>
        <w:tc>
          <w:tcPr>
            <w:tcW w:type="dxa" w:w="3312"/>
            <w:vAlign w:val="center"/>
          </w:tcPr>
          <w:p>
            <w:pPr>
              <w:spacing w:after="20"/>
            </w:pPr>
            <w:r/>
            <w:r>
              <w:rPr>
                <w:rFonts w:ascii="Aptos" w:hAnsi="Aptos"/>
                <w:b w:val="0"/>
                <w:sz w:val="17"/>
              </w:rPr>
              <w:t>Documents de conformité si requis ; accès temporaire et contrôlé.</w:t>
            </w:r>
          </w:p>
        </w:tc>
      </w:tr>
      <w:tr>
        <w:tc>
          <w:tcPr>
            <w:tcW w:type="dxa" w:w="3312"/>
            <w:vAlign w:val="center"/>
            <w:shd w:fill="F2F5F8"/>
          </w:tcPr>
          <w:p>
            <w:pPr>
              <w:spacing w:after="20"/>
            </w:pPr>
            <w:r/>
            <w:r>
              <w:rPr>
                <w:rFonts w:ascii="Aptos" w:hAnsi="Aptos"/>
                <w:b w:val="0"/>
                <w:sz w:val="17"/>
              </w:rPr>
              <w:t>Reverse proxy / TLS</w:t>
            </w:r>
          </w:p>
        </w:tc>
        <w:tc>
          <w:tcPr>
            <w:tcW w:type="dxa" w:w="3312"/>
            <w:vAlign w:val="center"/>
            <w:shd w:fill="F2F5F8"/>
          </w:tcPr>
          <w:p>
            <w:pPr>
              <w:spacing w:after="20"/>
            </w:pPr>
            <w:r/>
            <w:r>
              <w:rPr>
                <w:rFonts w:ascii="Aptos" w:hAnsi="Aptos"/>
                <w:b w:val="0"/>
                <w:sz w:val="17"/>
              </w:rPr>
              <w:t>Nginx ou service équivalent</w:t>
            </w:r>
          </w:p>
        </w:tc>
        <w:tc>
          <w:tcPr>
            <w:tcW w:type="dxa" w:w="3312"/>
            <w:vAlign w:val="center"/>
            <w:shd w:fill="F2F5F8"/>
          </w:tcPr>
          <w:p>
            <w:pPr>
              <w:spacing w:after="20"/>
            </w:pPr>
            <w:r/>
            <w:r>
              <w:rPr>
                <w:rFonts w:ascii="Aptos" w:hAnsi="Aptos"/>
                <w:b w:val="0"/>
                <w:sz w:val="17"/>
              </w:rPr>
              <w:t>HTTPS, en-têtes de sécurité, limites de requêtes et routage.</w:t>
            </w:r>
          </w:p>
        </w:tc>
      </w:tr>
      <w:tr>
        <w:tc>
          <w:tcPr>
            <w:tcW w:type="dxa" w:w="3312"/>
            <w:vAlign w:val="center"/>
          </w:tcPr>
          <w:p>
            <w:pPr>
              <w:spacing w:after="20"/>
            </w:pPr>
            <w:r/>
            <w:r>
              <w:rPr>
                <w:rFonts w:ascii="Aptos" w:hAnsi="Aptos"/>
                <w:b w:val="0"/>
                <w:sz w:val="17"/>
              </w:rPr>
              <w:t>Observabilité</w:t>
            </w:r>
          </w:p>
        </w:tc>
        <w:tc>
          <w:tcPr>
            <w:tcW w:type="dxa" w:w="3312"/>
            <w:vAlign w:val="center"/>
          </w:tcPr>
          <w:p>
            <w:pPr>
              <w:spacing w:after="20"/>
            </w:pPr>
            <w:r/>
            <w:r>
              <w:rPr>
                <w:rFonts w:ascii="Aptos" w:hAnsi="Aptos"/>
                <w:b w:val="0"/>
                <w:sz w:val="17"/>
              </w:rPr>
              <w:t>Logs structurés + alertes</w:t>
            </w:r>
          </w:p>
        </w:tc>
        <w:tc>
          <w:tcPr>
            <w:tcW w:type="dxa" w:w="3312"/>
            <w:vAlign w:val="center"/>
          </w:tcPr>
          <w:p>
            <w:pPr>
              <w:spacing w:after="20"/>
            </w:pPr>
            <w:r/>
            <w:r>
              <w:rPr>
                <w:rFonts w:ascii="Aptos" w:hAnsi="Aptos"/>
                <w:b w:val="0"/>
                <w:sz w:val="17"/>
              </w:rPr>
              <w:t>Erreurs API, retard de synchronisation, échecs de règlement et anomalies financières.</w:t>
            </w:r>
          </w:p>
        </w:tc>
      </w:tr>
    </w:tbl>
    <w:p/>
    <w:p>
      <w:pPr>
        <w:pStyle w:val="Heading2"/>
      </w:pPr>
      <w:r>
        <w:t>2.1 Règles d’architecture</w:t>
      </w:r>
    </w:p>
    <w:p>
      <w:pPr>
        <w:pStyle w:val="ListBullet"/>
        <w:spacing w:after="40"/>
      </w:pPr>
      <w:r>
        <w:t>Définir les modules par domaine métier et éviter les dépendances circulaires.</w:t>
      </w:r>
    </w:p>
    <w:p>
      <w:pPr>
        <w:pStyle w:val="ListBullet"/>
        <w:spacing w:after="40"/>
      </w:pPr>
      <w:r>
        <w:t>Utiliser des migrations versionnées et des contraintes SQL pour les invariants critiques.</w:t>
      </w:r>
    </w:p>
    <w:p>
      <w:pPr>
        <w:pStyle w:val="ListBullet"/>
        <w:spacing w:after="40"/>
      </w:pPr>
      <w:r>
        <w:t>Toutes les opérations financières et les validations de ticket sont autoritaires côté serveur.</w:t>
      </w:r>
    </w:p>
    <w:p>
      <w:pPr>
        <w:pStyle w:val="ListBullet"/>
        <w:spacing w:after="40"/>
      </w:pPr>
      <w:r>
        <w:t>Utiliser des transactions SQL et des clés d’idempotence pour empêcher les doubles traitements.</w:t>
      </w:r>
    </w:p>
    <w:p>
      <w:pPr>
        <w:pStyle w:val="ListBullet"/>
        <w:spacing w:after="40"/>
      </w:pPr>
      <w:r>
        <w:t>Conserver les secrets fournisseur uniquement côté serveur dans un gestionnaire de secrets ou des variables d’environnement sécurisées.</w:t>
      </w:r>
    </w:p>
    <w:p>
      <w:pPr>
        <w:pStyle w:val="ListBullet"/>
        <w:spacing w:after="40"/>
      </w:pPr>
      <w:r>
        <w:t>Documenter les contrats API avec OpenAPI/Swagger et versionner les changements incompatibles.</w:t>
      </w:r>
    </w:p>
    <w:p>
      <w:pPr>
        <w:pStyle w:val="Heading1"/>
      </w:pPr>
      <w:r>
        <w:t>3. Modules backend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Module</w:t>
            </w:r>
          </w:p>
        </w:tc>
        <w:tc>
          <w:tcPr>
            <w:tcW w:type="dxa" w:w="3312"/>
            <w:vAlign w:val="center"/>
            <w:shd w:fill="17365D"/>
          </w:tcPr>
          <w:p>
            <w:pPr>
              <w:spacing w:after="20"/>
            </w:pPr>
            <w:r/>
            <w:r>
              <w:rPr>
                <w:rFonts w:ascii="Aptos" w:hAnsi="Aptos"/>
                <w:b/>
                <w:color w:val="FFFFFF"/>
                <w:sz w:val="18"/>
              </w:rPr>
              <w:t>Responsabilités principales</w:t>
            </w:r>
          </w:p>
        </w:tc>
        <w:tc>
          <w:tcPr>
            <w:tcW w:type="dxa" w:w="3312"/>
            <w:vAlign w:val="center"/>
            <w:shd w:fill="17365D"/>
          </w:tcPr>
          <w:p>
            <w:pPr>
              <w:spacing w:after="20"/>
            </w:pPr>
            <w:r/>
            <w:r>
              <w:rPr>
                <w:rFonts w:ascii="Aptos" w:hAnsi="Aptos"/>
                <w:b/>
                <w:color w:val="FFFFFF"/>
                <w:sz w:val="18"/>
              </w:rPr>
              <w:t>Dépendances</w:t>
            </w:r>
          </w:p>
        </w:tc>
      </w:tr>
      <w:tr>
        <w:tc>
          <w:tcPr>
            <w:tcW w:type="dxa" w:w="3312"/>
            <w:vAlign w:val="center"/>
          </w:tcPr>
          <w:p>
            <w:pPr>
              <w:spacing w:after="20"/>
            </w:pPr>
            <w:r/>
            <w:r>
              <w:rPr>
                <w:rFonts w:ascii="Aptos" w:hAnsi="Aptos"/>
                <w:b w:val="0"/>
                <w:sz w:val="17"/>
              </w:rPr>
              <w:t>Identity &amp; Access</w:t>
            </w:r>
          </w:p>
        </w:tc>
        <w:tc>
          <w:tcPr>
            <w:tcW w:type="dxa" w:w="3312"/>
            <w:vAlign w:val="center"/>
          </w:tcPr>
          <w:p>
            <w:pPr>
              <w:spacing w:after="20"/>
            </w:pPr>
            <w:r/>
            <w:r>
              <w:rPr>
                <w:rFonts w:ascii="Aptos" w:hAnsi="Aptos"/>
                <w:b w:val="0"/>
                <w:sz w:val="17"/>
              </w:rPr>
              <w:t>Inscription, connexion, sessions, profil, statut du compte, rôles et permissions.</w:t>
            </w:r>
          </w:p>
        </w:tc>
        <w:tc>
          <w:tcPr>
            <w:tcW w:type="dxa" w:w="3312"/>
            <w:vAlign w:val="center"/>
          </w:tcPr>
          <w:p>
            <w:pPr>
              <w:spacing w:after="20"/>
            </w:pPr>
            <w:r/>
            <w:r>
              <w:rPr>
                <w:rFonts w:ascii="Aptos" w:hAnsi="Aptos"/>
                <w:b w:val="0"/>
                <w:sz w:val="17"/>
              </w:rPr>
              <w:t>Base de données, notifications</w:t>
            </w:r>
          </w:p>
        </w:tc>
      </w:tr>
      <w:tr>
        <w:tc>
          <w:tcPr>
            <w:tcW w:type="dxa" w:w="3312"/>
            <w:vAlign w:val="center"/>
            <w:shd w:fill="F2F5F8"/>
          </w:tcPr>
          <w:p>
            <w:pPr>
              <w:spacing w:after="20"/>
            </w:pPr>
            <w:r/>
            <w:r>
              <w:rPr>
                <w:rFonts w:ascii="Aptos" w:hAnsi="Aptos"/>
                <w:b w:val="0"/>
                <w:sz w:val="17"/>
              </w:rPr>
              <w:t>Sports Data Adapter</w:t>
            </w:r>
          </w:p>
        </w:tc>
        <w:tc>
          <w:tcPr>
            <w:tcW w:type="dxa" w:w="3312"/>
            <w:vAlign w:val="center"/>
            <w:shd w:fill="F2F5F8"/>
          </w:tcPr>
          <w:p>
            <w:pPr>
              <w:spacing w:after="20"/>
            </w:pPr>
            <w:r/>
            <w:r>
              <w:rPr>
                <w:rFonts w:ascii="Aptos" w:hAnsi="Aptos"/>
                <w:b w:val="0"/>
                <w:sz w:val="17"/>
              </w:rPr>
              <w:t>Synchroniser sports, ligues, équipes, événements, marchés et cotes depuis le fournisseur contracté.</w:t>
            </w:r>
          </w:p>
        </w:tc>
        <w:tc>
          <w:tcPr>
            <w:tcW w:type="dxa" w:w="3312"/>
            <w:vAlign w:val="center"/>
            <w:shd w:fill="F2F5F8"/>
          </w:tcPr>
          <w:p>
            <w:pPr>
              <w:spacing w:after="20"/>
            </w:pPr>
            <w:r/>
            <w:r>
              <w:rPr>
                <w:rFonts w:ascii="Aptos" w:hAnsi="Aptos"/>
                <w:b w:val="0"/>
                <w:sz w:val="17"/>
              </w:rPr>
              <w:t>Fournisseur de données, queue, logs</w:t>
            </w:r>
          </w:p>
        </w:tc>
      </w:tr>
      <w:tr>
        <w:tc>
          <w:tcPr>
            <w:tcW w:type="dxa" w:w="3312"/>
            <w:vAlign w:val="center"/>
          </w:tcPr>
          <w:p>
            <w:pPr>
              <w:spacing w:after="20"/>
            </w:pPr>
            <w:r/>
            <w:r>
              <w:rPr>
                <w:rFonts w:ascii="Aptos" w:hAnsi="Aptos"/>
                <w:b w:val="0"/>
                <w:sz w:val="17"/>
              </w:rPr>
              <w:t>Betting Catalogue</w:t>
            </w:r>
          </w:p>
        </w:tc>
        <w:tc>
          <w:tcPr>
            <w:tcW w:type="dxa" w:w="3312"/>
            <w:vAlign w:val="center"/>
          </w:tcPr>
          <w:p>
            <w:pPr>
              <w:spacing w:after="20"/>
            </w:pPr>
            <w:r/>
            <w:r>
              <w:rPr>
                <w:rFonts w:ascii="Aptos" w:hAnsi="Aptos"/>
                <w:b w:val="0"/>
                <w:sz w:val="17"/>
              </w:rPr>
              <w:t>Exposer uniquement les événements et marchés ouverts, avec horodatage et état de disponibilité.</w:t>
            </w:r>
          </w:p>
        </w:tc>
        <w:tc>
          <w:tcPr>
            <w:tcW w:type="dxa" w:w="3312"/>
            <w:vAlign w:val="center"/>
          </w:tcPr>
          <w:p>
            <w:pPr>
              <w:spacing w:after="20"/>
            </w:pPr>
            <w:r/>
            <w:r>
              <w:rPr>
                <w:rFonts w:ascii="Aptos" w:hAnsi="Aptos"/>
                <w:b w:val="0"/>
                <w:sz w:val="17"/>
              </w:rPr>
              <w:t>Sports Data Adapter</w:t>
            </w:r>
          </w:p>
        </w:tc>
      </w:tr>
      <w:tr>
        <w:tc>
          <w:tcPr>
            <w:tcW w:type="dxa" w:w="3312"/>
            <w:vAlign w:val="center"/>
            <w:shd w:fill="F2F5F8"/>
          </w:tcPr>
          <w:p>
            <w:pPr>
              <w:spacing w:after="20"/>
            </w:pPr>
            <w:r/>
            <w:r>
              <w:rPr>
                <w:rFonts w:ascii="Aptos" w:hAnsi="Aptos"/>
                <w:b w:val="0"/>
                <w:sz w:val="17"/>
              </w:rPr>
              <w:t>Bet Slip &amp; Tickets</w:t>
            </w:r>
          </w:p>
        </w:tc>
        <w:tc>
          <w:tcPr>
            <w:tcW w:type="dxa" w:w="3312"/>
            <w:vAlign w:val="center"/>
            <w:shd w:fill="F2F5F8"/>
          </w:tcPr>
          <w:p>
            <w:pPr>
              <w:spacing w:after="20"/>
            </w:pPr>
            <w:r/>
            <w:r>
              <w:rPr>
                <w:rFonts w:ascii="Aptos" w:hAnsi="Aptos"/>
                <w:b w:val="0"/>
                <w:sz w:val="17"/>
              </w:rPr>
              <w:t>Valider sélection, marché, cote, mise, limites, solde et statut ; créer le ticket et figer les paramètres acceptés.</w:t>
            </w:r>
          </w:p>
        </w:tc>
        <w:tc>
          <w:tcPr>
            <w:tcW w:type="dxa" w:w="3312"/>
            <w:vAlign w:val="center"/>
            <w:shd w:fill="F2F5F8"/>
          </w:tcPr>
          <w:p>
            <w:pPr>
              <w:spacing w:after="20"/>
            </w:pPr>
            <w:r/>
            <w:r>
              <w:rPr>
                <w:rFonts w:ascii="Aptos" w:hAnsi="Aptos"/>
                <w:b w:val="0"/>
                <w:sz w:val="17"/>
              </w:rPr>
              <w:t>Catalogue, portefeuille</w:t>
            </w:r>
          </w:p>
        </w:tc>
      </w:tr>
      <w:tr>
        <w:tc>
          <w:tcPr>
            <w:tcW w:type="dxa" w:w="3312"/>
            <w:vAlign w:val="center"/>
          </w:tcPr>
          <w:p>
            <w:pPr>
              <w:spacing w:after="20"/>
            </w:pPr>
            <w:r/>
            <w:r>
              <w:rPr>
                <w:rFonts w:ascii="Aptos" w:hAnsi="Aptos"/>
                <w:b w:val="0"/>
                <w:sz w:val="17"/>
              </w:rPr>
              <w:t>Wallet &amp; Ledger</w:t>
            </w:r>
          </w:p>
        </w:tc>
        <w:tc>
          <w:tcPr>
            <w:tcW w:type="dxa" w:w="3312"/>
            <w:vAlign w:val="center"/>
          </w:tcPr>
          <w:p>
            <w:pPr>
              <w:spacing w:after="20"/>
            </w:pPr>
            <w:r/>
            <w:r>
              <w:rPr>
                <w:rFonts w:ascii="Aptos" w:hAnsi="Aptos"/>
                <w:b w:val="0"/>
                <w:sz w:val="17"/>
              </w:rPr>
              <w:t>Journal des crédits/débits, réservations de mise, gains, remboursements et corrections compensatoires.</w:t>
            </w:r>
          </w:p>
        </w:tc>
        <w:tc>
          <w:tcPr>
            <w:tcW w:type="dxa" w:w="3312"/>
            <w:vAlign w:val="center"/>
          </w:tcPr>
          <w:p>
            <w:pPr>
              <w:spacing w:after="20"/>
            </w:pPr>
            <w:r/>
            <w:r>
              <w:rPr>
                <w:rFonts w:ascii="Aptos" w:hAnsi="Aptos"/>
                <w:b w:val="0"/>
                <w:sz w:val="17"/>
              </w:rPr>
              <w:t>Tickets, paiement si autorisé</w:t>
            </w:r>
          </w:p>
        </w:tc>
      </w:tr>
      <w:tr>
        <w:tc>
          <w:tcPr>
            <w:tcW w:type="dxa" w:w="3312"/>
            <w:vAlign w:val="center"/>
            <w:shd w:fill="F2F5F8"/>
          </w:tcPr>
          <w:p>
            <w:pPr>
              <w:spacing w:after="20"/>
            </w:pPr>
            <w:r/>
            <w:r>
              <w:rPr>
                <w:rFonts w:ascii="Aptos" w:hAnsi="Aptos"/>
                <w:b w:val="0"/>
                <w:sz w:val="17"/>
              </w:rPr>
              <w:t>Settlement</w:t>
            </w:r>
          </w:p>
        </w:tc>
        <w:tc>
          <w:tcPr>
            <w:tcW w:type="dxa" w:w="3312"/>
            <w:vAlign w:val="center"/>
            <w:shd w:fill="F2F5F8"/>
          </w:tcPr>
          <w:p>
            <w:pPr>
              <w:spacing w:after="20"/>
            </w:pPr>
            <w:r/>
            <w:r>
              <w:rPr>
                <w:rFonts w:ascii="Aptos" w:hAnsi="Aptos"/>
                <w:b w:val="0"/>
                <w:sz w:val="17"/>
              </w:rPr>
              <w:t>Appliquer les résultats validés aux tickets concernés ; prévenir doublons et règlements non autorisés.</w:t>
            </w:r>
          </w:p>
        </w:tc>
        <w:tc>
          <w:tcPr>
            <w:tcW w:type="dxa" w:w="3312"/>
            <w:vAlign w:val="center"/>
            <w:shd w:fill="F2F5F8"/>
          </w:tcPr>
          <w:p>
            <w:pPr>
              <w:spacing w:after="20"/>
            </w:pPr>
            <w:r/>
            <w:r>
              <w:rPr>
                <w:rFonts w:ascii="Aptos" w:hAnsi="Aptos"/>
                <w:b w:val="0"/>
                <w:sz w:val="17"/>
              </w:rPr>
              <w:t>Résultats, tickets, ledger</w:t>
            </w:r>
          </w:p>
        </w:tc>
      </w:tr>
      <w:tr>
        <w:tc>
          <w:tcPr>
            <w:tcW w:type="dxa" w:w="3312"/>
            <w:vAlign w:val="center"/>
          </w:tcPr>
          <w:p>
            <w:pPr>
              <w:spacing w:after="20"/>
            </w:pPr>
            <w:r/>
            <w:r>
              <w:rPr>
                <w:rFonts w:ascii="Aptos" w:hAnsi="Aptos"/>
                <w:b w:val="0"/>
                <w:sz w:val="17"/>
              </w:rPr>
              <w:t>Payments Adapter</w:t>
            </w:r>
          </w:p>
        </w:tc>
        <w:tc>
          <w:tcPr>
            <w:tcW w:type="dxa" w:w="3312"/>
            <w:vAlign w:val="center"/>
          </w:tcPr>
          <w:p>
            <w:pPr>
              <w:spacing w:after="20"/>
            </w:pPr>
            <w:r/>
            <w:r>
              <w:rPr>
                <w:rFonts w:ascii="Aptos" w:hAnsi="Aptos"/>
                <w:b w:val="0"/>
                <w:sz w:val="17"/>
              </w:rPr>
              <w:t>Abstraction des prestataires, références internes/externes, webhooks vérifiés et rapprochement.</w:t>
            </w:r>
          </w:p>
        </w:tc>
        <w:tc>
          <w:tcPr>
            <w:tcW w:type="dxa" w:w="3312"/>
            <w:vAlign w:val="center"/>
          </w:tcPr>
          <w:p>
            <w:pPr>
              <w:spacing w:after="20"/>
            </w:pPr>
            <w:r/>
            <w:r>
              <w:rPr>
                <w:rFonts w:ascii="Aptos" w:hAnsi="Aptos"/>
                <w:b w:val="0"/>
                <w:sz w:val="17"/>
              </w:rPr>
              <w:t>Wallet, prestataire agréé</w:t>
            </w:r>
          </w:p>
        </w:tc>
      </w:tr>
      <w:tr>
        <w:tc>
          <w:tcPr>
            <w:tcW w:type="dxa" w:w="3312"/>
            <w:vAlign w:val="center"/>
            <w:shd w:fill="F2F5F8"/>
          </w:tcPr>
          <w:p>
            <w:pPr>
              <w:spacing w:after="20"/>
            </w:pPr>
            <w:r/>
            <w:r>
              <w:rPr>
                <w:rFonts w:ascii="Aptos" w:hAnsi="Aptos"/>
                <w:b w:val="0"/>
                <w:sz w:val="17"/>
              </w:rPr>
              <w:t>Admin &amp; Operations</w:t>
            </w:r>
          </w:p>
        </w:tc>
        <w:tc>
          <w:tcPr>
            <w:tcW w:type="dxa" w:w="3312"/>
            <w:vAlign w:val="center"/>
            <w:shd w:fill="F2F5F8"/>
          </w:tcPr>
          <w:p>
            <w:pPr>
              <w:spacing w:after="20"/>
            </w:pPr>
            <w:r/>
            <w:r>
              <w:rPr>
                <w:rFonts w:ascii="Aptos" w:hAnsi="Aptos"/>
                <w:b w:val="0"/>
                <w:sz w:val="17"/>
              </w:rPr>
              <w:t>Gestion des comptes, suspension, marchés, limites, tickets, corrections autorisées et rapports.</w:t>
            </w:r>
          </w:p>
        </w:tc>
        <w:tc>
          <w:tcPr>
            <w:tcW w:type="dxa" w:w="3312"/>
            <w:vAlign w:val="center"/>
            <w:shd w:fill="F2F5F8"/>
          </w:tcPr>
          <w:p>
            <w:pPr>
              <w:spacing w:after="20"/>
            </w:pPr>
            <w:r/>
            <w:r>
              <w:rPr>
                <w:rFonts w:ascii="Aptos" w:hAnsi="Aptos"/>
                <w:b w:val="0"/>
                <w:sz w:val="17"/>
              </w:rPr>
              <w:t>RBAC, audit</w:t>
            </w:r>
          </w:p>
        </w:tc>
      </w:tr>
      <w:tr>
        <w:tc>
          <w:tcPr>
            <w:tcW w:type="dxa" w:w="3312"/>
            <w:vAlign w:val="center"/>
          </w:tcPr>
          <w:p>
            <w:pPr>
              <w:spacing w:after="20"/>
            </w:pPr>
            <w:r/>
            <w:r>
              <w:rPr>
                <w:rFonts w:ascii="Aptos" w:hAnsi="Aptos"/>
                <w:b w:val="0"/>
                <w:sz w:val="17"/>
              </w:rPr>
              <w:t>Compliance &amp; Responsible Play</w:t>
            </w:r>
          </w:p>
        </w:tc>
        <w:tc>
          <w:tcPr>
            <w:tcW w:type="dxa" w:w="3312"/>
            <w:vAlign w:val="center"/>
          </w:tcPr>
          <w:p>
            <w:pPr>
              <w:spacing w:after="20"/>
            </w:pPr>
            <w:r/>
            <w:r>
              <w:rPr>
                <w:rFonts w:ascii="Aptos" w:hAnsi="Aptos"/>
                <w:b w:val="0"/>
                <w:sz w:val="17"/>
              </w:rPr>
              <w:t>Contrôles d’âge/éligibilité si requis, limites, auto-exclusion et journal des contrôles.</w:t>
            </w:r>
          </w:p>
        </w:tc>
        <w:tc>
          <w:tcPr>
            <w:tcW w:type="dxa" w:w="3312"/>
            <w:vAlign w:val="center"/>
          </w:tcPr>
          <w:p>
            <w:pPr>
              <w:spacing w:after="20"/>
            </w:pPr>
            <w:r/>
            <w:r>
              <w:rPr>
                <w:rFonts w:ascii="Aptos" w:hAnsi="Aptos"/>
                <w:b w:val="0"/>
                <w:sz w:val="17"/>
              </w:rPr>
              <w:t>Identity, admin</w:t>
            </w:r>
          </w:p>
        </w:tc>
      </w:tr>
      <w:tr>
        <w:tc>
          <w:tcPr>
            <w:tcW w:type="dxa" w:w="3312"/>
            <w:vAlign w:val="center"/>
            <w:shd w:fill="F2F5F8"/>
          </w:tcPr>
          <w:p>
            <w:pPr>
              <w:spacing w:after="20"/>
            </w:pPr>
            <w:r/>
            <w:r>
              <w:rPr>
                <w:rFonts w:ascii="Aptos" w:hAnsi="Aptos"/>
                <w:b w:val="0"/>
                <w:sz w:val="17"/>
              </w:rPr>
              <w:t>Audit &amp; Reporting</w:t>
            </w:r>
          </w:p>
        </w:tc>
        <w:tc>
          <w:tcPr>
            <w:tcW w:type="dxa" w:w="3312"/>
            <w:vAlign w:val="center"/>
            <w:shd w:fill="F2F5F8"/>
          </w:tcPr>
          <w:p>
            <w:pPr>
              <w:spacing w:after="20"/>
            </w:pPr>
            <w:r/>
            <w:r>
              <w:rPr>
                <w:rFonts w:ascii="Aptos" w:hAnsi="Aptos"/>
                <w:b w:val="0"/>
                <w:sz w:val="17"/>
              </w:rPr>
              <w:t>Historique des actions sensibles, exports autorisés, métriques et rapports opérationnels.</w:t>
            </w:r>
          </w:p>
        </w:tc>
        <w:tc>
          <w:tcPr>
            <w:tcW w:type="dxa" w:w="3312"/>
            <w:vAlign w:val="center"/>
            <w:shd w:fill="F2F5F8"/>
          </w:tcPr>
          <w:p>
            <w:pPr>
              <w:spacing w:after="20"/>
            </w:pPr>
            <w:r/>
            <w:r>
              <w:rPr>
                <w:rFonts w:ascii="Aptos" w:hAnsi="Aptos"/>
                <w:b w:val="0"/>
                <w:sz w:val="17"/>
              </w:rPr>
              <w:t>Tous les modules</w:t>
            </w:r>
          </w:p>
        </w:tc>
      </w:tr>
    </w:tbl>
    <w:p/>
    <w:p>
      <w:pPr>
        <w:pStyle w:val="Heading1"/>
      </w:pPr>
      <w:r>
        <w:t>4. Flux métier principaux</w:t>
      </w:r>
    </w:p>
    <w:p>
      <w:pPr>
        <w:pStyle w:val="Heading2"/>
      </w:pPr>
      <w:r>
        <w:t>4.1 Publication d’un événement</w:t>
      </w:r>
    </w:p>
    <w:p>
      <w:pPr>
        <w:pStyle w:val="ListNumber"/>
        <w:spacing w:after="40"/>
      </w:pPr>
      <w:r>
        <w:t>Le connecteur récupère les événements, marchés, cotes et statuts auprès d’un fournisseur approuvé.</w:t>
      </w:r>
    </w:p>
    <w:p>
      <w:pPr>
        <w:pStyle w:val="ListNumber"/>
        <w:spacing w:after="40"/>
      </w:pPr>
      <w:r>
        <w:t>Le backend valide le schéma, la source, l’horodatage et l’état de l’événement avant mise à jour.</w:t>
      </w:r>
    </w:p>
    <w:p>
      <w:pPr>
        <w:pStyle w:val="ListNumber"/>
        <w:spacing w:after="40"/>
      </w:pPr>
      <w:r>
        <w:t>Le catalogue n’expose que les marchés disponibles et suffisamment récents.</w:t>
      </w:r>
    </w:p>
    <w:p>
      <w:pPr>
        <w:pStyle w:val="ListNumber"/>
        <w:spacing w:after="40"/>
      </w:pPr>
      <w:r>
        <w:t>En cas de données périmées, incohérentes ou de panne fournisseur, le marché est suspendu ou masqué selon une règle documentée.</w:t>
      </w:r>
    </w:p>
    <w:p>
      <w:pPr>
        <w:pStyle w:val="Heading2"/>
      </w:pPr>
      <w:r>
        <w:t>4.2 Acceptation d’un pari</w:t>
      </w:r>
    </w:p>
    <w:p>
      <w:pPr>
        <w:pStyle w:val="ListNumber"/>
        <w:spacing w:after="40"/>
      </w:pPr>
      <w:r>
        <w:t>Le frontend envoie les identifiants du marché/sélection, la mise et une clé d’idempotence ; la cote affichée n’est pas considérée comme autorité.</w:t>
      </w:r>
    </w:p>
    <w:p>
      <w:pPr>
        <w:pStyle w:val="ListNumber"/>
        <w:spacing w:after="40"/>
      </w:pPr>
      <w:r>
        <w:t>Le serveur recharge l’état actuel du marché et revalide sa disponibilité, la cote, les limites, l’éligibilité et les fonds.</w:t>
      </w:r>
    </w:p>
    <w:p>
      <w:pPr>
        <w:pStyle w:val="ListNumber"/>
        <w:spacing w:after="40"/>
      </w:pPr>
      <w:r>
        <w:t>Si la cote a changé, appliquer la politique approuvée : refuser le pari ou demander une confirmation explicite de la nouvelle cote.</w:t>
      </w:r>
    </w:p>
    <w:p>
      <w:pPr>
        <w:pStyle w:val="ListNumber"/>
        <w:spacing w:after="40"/>
      </w:pPr>
      <w:r>
        <w:t>Dans une transaction atomique, créer le ticket, enregistrer les cotes et règles acceptées, et réserver/débiter la mise selon le modèle validé.</w:t>
      </w:r>
    </w:p>
    <w:p>
      <w:pPr>
        <w:pStyle w:val="ListNumber"/>
        <w:spacing w:after="40"/>
      </w:pPr>
      <w:r>
        <w:t>Retourner un identifiant de ticket et un reçu immuable. Une répétition de la même requête ne doit pas créer un second ticket.</w:t>
      </w:r>
    </w:p>
    <w:p>
      <w:pPr>
        <w:pStyle w:val="Heading2"/>
      </w:pPr>
      <w:r>
        <w:t>4.3 Résultat et règlement</w:t>
      </w:r>
    </w:p>
    <w:p>
      <w:pPr>
        <w:pStyle w:val="ListNumber"/>
        <w:spacing w:after="40"/>
      </w:pPr>
      <w:r>
        <w:t>Recevoir le résultat depuis une source autorisée ou une procédure de validation à double contrôle.</w:t>
      </w:r>
    </w:p>
    <w:p>
      <w:pPr>
        <w:pStyle w:val="ListNumber"/>
        <w:spacing w:after="40"/>
      </w:pPr>
      <w:r>
        <w:t>Conserver la source, la référence externe, l’horodatage et l’historique de correction éventuelle.</w:t>
      </w:r>
    </w:p>
    <w:p>
      <w:pPr>
        <w:pStyle w:val="ListNumber"/>
        <w:spacing w:after="40"/>
      </w:pPr>
      <w:r>
        <w:t>Calculer le statut du ticket à partir des règles et de la version de cote enregistrées au moment de l’acceptation.</w:t>
      </w:r>
    </w:p>
    <w:p>
      <w:pPr>
        <w:pStyle w:val="ListNumber"/>
        <w:spacing w:after="40"/>
      </w:pPr>
      <w:r>
        <w:t>Écrire le règlement dans le ledger dans une transaction idempotente ; une relance ne doit pas payer deux fois.</w:t>
      </w:r>
    </w:p>
    <w:p>
      <w:pPr>
        <w:pStyle w:val="ListNumber"/>
        <w:spacing w:after="40"/>
      </w:pPr>
      <w:r>
        <w:t>En cas de résultat contesté ou corrigé, déclencher un processus audité de réévaluation et d’écritures compensatoires.</w:t>
      </w:r>
    </w:p>
    <w:p>
      <w:pPr>
        <w:pStyle w:val="Heading1"/>
      </w:pPr>
      <w:r>
        <w:t>5. Modèle de données initial</w:t>
      </w:r>
    </w:p>
    <w:p>
      <w:r>
        <w:t>Ce modèle est un inventaire initial à affiner avant les migrations définitives.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Entité/table logique</w:t>
            </w:r>
          </w:p>
        </w:tc>
        <w:tc>
          <w:tcPr>
            <w:tcW w:type="dxa" w:w="4968"/>
            <w:vAlign w:val="center"/>
            <w:shd w:fill="17365D"/>
          </w:tcPr>
          <w:p>
            <w:pPr>
              <w:spacing w:after="20"/>
            </w:pPr>
            <w:r/>
            <w:r>
              <w:rPr>
                <w:rFonts w:ascii="Aptos" w:hAnsi="Aptos"/>
                <w:b/>
                <w:color w:val="FFFFFF"/>
                <w:sz w:val="18"/>
              </w:rPr>
              <w:t>Données essentielles</w:t>
            </w:r>
          </w:p>
        </w:tc>
      </w:tr>
      <w:tr>
        <w:tc>
          <w:tcPr>
            <w:tcW w:type="dxa" w:w="4968"/>
            <w:vAlign w:val="center"/>
          </w:tcPr>
          <w:p>
            <w:pPr>
              <w:spacing w:after="20"/>
            </w:pPr>
            <w:r/>
            <w:r>
              <w:rPr>
                <w:rFonts w:ascii="Aptos" w:hAnsi="Aptos"/>
                <w:b w:val="0"/>
                <w:sz w:val="17"/>
              </w:rPr>
              <w:t>users / user_profiles</w:t>
            </w:r>
          </w:p>
        </w:tc>
        <w:tc>
          <w:tcPr>
            <w:tcW w:type="dxa" w:w="4968"/>
            <w:vAlign w:val="center"/>
          </w:tcPr>
          <w:p>
            <w:pPr>
              <w:spacing w:after="20"/>
            </w:pPr>
            <w:r/>
            <w:r>
              <w:rPr>
                <w:rFonts w:ascii="Aptos" w:hAnsi="Aptos"/>
                <w:b w:val="0"/>
                <w:sz w:val="17"/>
              </w:rPr>
              <w:t>Identifiant, coordonnées de connexion, statut, dates, préférences minimales.</w:t>
            </w:r>
          </w:p>
        </w:tc>
      </w:tr>
      <w:tr>
        <w:tc>
          <w:tcPr>
            <w:tcW w:type="dxa" w:w="4968"/>
            <w:vAlign w:val="center"/>
            <w:shd w:fill="F2F5F8"/>
          </w:tcPr>
          <w:p>
            <w:pPr>
              <w:spacing w:after="20"/>
            </w:pPr>
            <w:r/>
            <w:r>
              <w:rPr>
                <w:rFonts w:ascii="Aptos" w:hAnsi="Aptos"/>
                <w:b w:val="0"/>
                <w:sz w:val="17"/>
              </w:rPr>
              <w:t>roles / permissions / user_roles</w:t>
            </w:r>
          </w:p>
        </w:tc>
        <w:tc>
          <w:tcPr>
            <w:tcW w:type="dxa" w:w="4968"/>
            <w:vAlign w:val="center"/>
            <w:shd w:fill="F2F5F8"/>
          </w:tcPr>
          <w:p>
            <w:pPr>
              <w:spacing w:after="20"/>
            </w:pPr>
            <w:r/>
            <w:r>
              <w:rPr>
                <w:rFonts w:ascii="Aptos" w:hAnsi="Aptos"/>
                <w:b w:val="0"/>
                <w:sz w:val="17"/>
              </w:rPr>
              <w:t>Rôles et permissions, avec contrôle serveur.</w:t>
            </w:r>
          </w:p>
        </w:tc>
      </w:tr>
      <w:tr>
        <w:tc>
          <w:tcPr>
            <w:tcW w:type="dxa" w:w="4968"/>
            <w:vAlign w:val="center"/>
          </w:tcPr>
          <w:p>
            <w:pPr>
              <w:spacing w:after="20"/>
            </w:pPr>
            <w:r/>
            <w:r>
              <w:rPr>
                <w:rFonts w:ascii="Aptos" w:hAnsi="Aptos"/>
                <w:b w:val="0"/>
                <w:sz w:val="17"/>
              </w:rPr>
              <w:t>sports / competitions / teams</w:t>
            </w:r>
          </w:p>
        </w:tc>
        <w:tc>
          <w:tcPr>
            <w:tcW w:type="dxa" w:w="4968"/>
            <w:vAlign w:val="center"/>
          </w:tcPr>
          <w:p>
            <w:pPr>
              <w:spacing w:after="20"/>
            </w:pPr>
            <w:r/>
            <w:r>
              <w:rPr>
                <w:rFonts w:ascii="Aptos" w:hAnsi="Aptos"/>
                <w:b w:val="0"/>
                <w:sz w:val="17"/>
              </w:rPr>
              <w:t>Références internes et externes, noms, statut et métadonnées.</w:t>
            </w:r>
          </w:p>
        </w:tc>
      </w:tr>
      <w:tr>
        <w:tc>
          <w:tcPr>
            <w:tcW w:type="dxa" w:w="4968"/>
            <w:vAlign w:val="center"/>
            <w:shd w:fill="F2F5F8"/>
          </w:tcPr>
          <w:p>
            <w:pPr>
              <w:spacing w:after="20"/>
            </w:pPr>
            <w:r/>
            <w:r>
              <w:rPr>
                <w:rFonts w:ascii="Aptos" w:hAnsi="Aptos"/>
                <w:b w:val="0"/>
                <w:sz w:val="17"/>
              </w:rPr>
              <w:t>events</w:t>
            </w:r>
          </w:p>
        </w:tc>
        <w:tc>
          <w:tcPr>
            <w:tcW w:type="dxa" w:w="4968"/>
            <w:vAlign w:val="center"/>
            <w:shd w:fill="F2F5F8"/>
          </w:tcPr>
          <w:p>
            <w:pPr>
              <w:spacing w:after="20"/>
            </w:pPr>
            <w:r/>
            <w:r>
              <w:rPr>
                <w:rFonts w:ascii="Aptos" w:hAnsi="Aptos"/>
                <w:b w:val="0"/>
                <w:sz w:val="17"/>
              </w:rPr>
              <w:t>Compétition, équipes/participants, début prévu, statut, fournisseur et horodatage de synchronisation.</w:t>
            </w:r>
          </w:p>
        </w:tc>
      </w:tr>
      <w:tr>
        <w:tc>
          <w:tcPr>
            <w:tcW w:type="dxa" w:w="4968"/>
            <w:vAlign w:val="center"/>
          </w:tcPr>
          <w:p>
            <w:pPr>
              <w:spacing w:after="20"/>
            </w:pPr>
            <w:r/>
            <w:r>
              <w:rPr>
                <w:rFonts w:ascii="Aptos" w:hAnsi="Aptos"/>
                <w:b w:val="0"/>
                <w:sz w:val="17"/>
              </w:rPr>
              <w:t>markets / selections / odds_snapshots</w:t>
            </w:r>
          </w:p>
        </w:tc>
        <w:tc>
          <w:tcPr>
            <w:tcW w:type="dxa" w:w="4968"/>
            <w:vAlign w:val="center"/>
          </w:tcPr>
          <w:p>
            <w:pPr>
              <w:spacing w:after="20"/>
            </w:pPr>
            <w:r/>
            <w:r>
              <w:rPr>
                <w:rFonts w:ascii="Aptos" w:hAnsi="Aptos"/>
                <w:b w:val="0"/>
                <w:sz w:val="17"/>
              </w:rPr>
              <w:t>Marché, sélection, cote, état, version, date d’observation et identifiant fournisseur.</w:t>
            </w:r>
          </w:p>
        </w:tc>
      </w:tr>
      <w:tr>
        <w:tc>
          <w:tcPr>
            <w:tcW w:type="dxa" w:w="4968"/>
            <w:vAlign w:val="center"/>
            <w:shd w:fill="F2F5F8"/>
          </w:tcPr>
          <w:p>
            <w:pPr>
              <w:spacing w:after="20"/>
            </w:pPr>
            <w:r/>
            <w:r>
              <w:rPr>
                <w:rFonts w:ascii="Aptos" w:hAnsi="Aptos"/>
                <w:b w:val="0"/>
                <w:sz w:val="17"/>
              </w:rPr>
              <w:t>bet_tickets / bet_selections</w:t>
            </w:r>
          </w:p>
        </w:tc>
        <w:tc>
          <w:tcPr>
            <w:tcW w:type="dxa" w:w="4968"/>
            <w:vAlign w:val="center"/>
            <w:shd w:fill="F2F5F8"/>
          </w:tcPr>
          <w:p>
            <w:pPr>
              <w:spacing w:after="20"/>
            </w:pPr>
            <w:r/>
            <w:r>
              <w:rPr>
                <w:rFonts w:ascii="Aptos" w:hAnsi="Aptos"/>
                <w:b w:val="0"/>
                <w:sz w:val="17"/>
              </w:rPr>
              <w:t>Propriétaire, mise, cote acceptée, potentiel de gain, statut, référence unique et instantané des règles.</w:t>
            </w:r>
          </w:p>
        </w:tc>
      </w:tr>
      <w:tr>
        <w:tc>
          <w:tcPr>
            <w:tcW w:type="dxa" w:w="4968"/>
            <w:vAlign w:val="center"/>
          </w:tcPr>
          <w:p>
            <w:pPr>
              <w:spacing w:after="20"/>
            </w:pPr>
            <w:r/>
            <w:r>
              <w:rPr>
                <w:rFonts w:ascii="Aptos" w:hAnsi="Aptos"/>
                <w:b w:val="0"/>
                <w:sz w:val="17"/>
              </w:rPr>
              <w:t>wallets / ledger_entries</w:t>
            </w:r>
          </w:p>
        </w:tc>
        <w:tc>
          <w:tcPr>
            <w:tcW w:type="dxa" w:w="4968"/>
            <w:vAlign w:val="center"/>
          </w:tcPr>
          <w:p>
            <w:pPr>
              <w:spacing w:after="20"/>
            </w:pPr>
            <w:r/>
            <w:r>
              <w:rPr>
                <w:rFonts w:ascii="Aptos" w:hAnsi="Aptos"/>
                <w:b w:val="0"/>
                <w:sz w:val="17"/>
              </w:rPr>
              <w:t>Propriétaire, devise, sens, montant, type, référence métier, statut et horodatage.</w:t>
            </w:r>
          </w:p>
        </w:tc>
      </w:tr>
      <w:tr>
        <w:tc>
          <w:tcPr>
            <w:tcW w:type="dxa" w:w="4968"/>
            <w:vAlign w:val="center"/>
            <w:shd w:fill="F2F5F8"/>
          </w:tcPr>
          <w:p>
            <w:pPr>
              <w:spacing w:after="20"/>
            </w:pPr>
            <w:r/>
            <w:r>
              <w:rPr>
                <w:rFonts w:ascii="Aptos" w:hAnsi="Aptos"/>
                <w:b w:val="0"/>
                <w:sz w:val="17"/>
              </w:rPr>
              <w:t>payment_transactions / webhook_events</w:t>
            </w:r>
          </w:p>
        </w:tc>
        <w:tc>
          <w:tcPr>
            <w:tcW w:type="dxa" w:w="4968"/>
            <w:vAlign w:val="center"/>
            <w:shd w:fill="F2F5F8"/>
          </w:tcPr>
          <w:p>
            <w:pPr>
              <w:spacing w:after="20"/>
            </w:pPr>
            <w:r/>
            <w:r>
              <w:rPr>
                <w:rFonts w:ascii="Aptos" w:hAnsi="Aptos"/>
                <w:b w:val="0"/>
                <w:sz w:val="17"/>
              </w:rPr>
              <w:t>Prestataire, références interne/externe, montant, devise, signature vérifiée et état de traitement.</w:t>
            </w:r>
          </w:p>
        </w:tc>
      </w:tr>
      <w:tr>
        <w:tc>
          <w:tcPr>
            <w:tcW w:type="dxa" w:w="4968"/>
            <w:vAlign w:val="center"/>
          </w:tcPr>
          <w:p>
            <w:pPr>
              <w:spacing w:after="20"/>
            </w:pPr>
            <w:r/>
            <w:r>
              <w:rPr>
                <w:rFonts w:ascii="Aptos" w:hAnsi="Aptos"/>
                <w:b w:val="0"/>
                <w:sz w:val="17"/>
              </w:rPr>
              <w:t>results / settlements</w:t>
            </w:r>
          </w:p>
        </w:tc>
        <w:tc>
          <w:tcPr>
            <w:tcW w:type="dxa" w:w="4968"/>
            <w:vAlign w:val="center"/>
          </w:tcPr>
          <w:p>
            <w:pPr>
              <w:spacing w:after="20"/>
            </w:pPr>
            <w:r/>
            <w:r>
              <w:rPr>
                <w:rFonts w:ascii="Aptos" w:hAnsi="Aptos"/>
                <w:b w:val="0"/>
                <w:sz w:val="17"/>
              </w:rPr>
              <w:t>Résultat, source, version, ticket concerné, montant réglé et état du traitement.</w:t>
            </w:r>
          </w:p>
        </w:tc>
      </w:tr>
      <w:tr>
        <w:tc>
          <w:tcPr>
            <w:tcW w:type="dxa" w:w="4968"/>
            <w:vAlign w:val="center"/>
            <w:shd w:fill="F2F5F8"/>
          </w:tcPr>
          <w:p>
            <w:pPr>
              <w:spacing w:after="20"/>
            </w:pPr>
            <w:r/>
            <w:r>
              <w:rPr>
                <w:rFonts w:ascii="Aptos" w:hAnsi="Aptos"/>
                <w:b w:val="0"/>
                <w:sz w:val="17"/>
              </w:rPr>
              <w:t>limits / responsible_play_events</w:t>
            </w:r>
          </w:p>
        </w:tc>
        <w:tc>
          <w:tcPr>
            <w:tcW w:type="dxa" w:w="4968"/>
            <w:vAlign w:val="center"/>
            <w:shd w:fill="F2F5F8"/>
          </w:tcPr>
          <w:p>
            <w:pPr>
              <w:spacing w:after="20"/>
            </w:pPr>
            <w:r/>
            <w:r>
              <w:rPr>
                <w:rFonts w:ascii="Aptos" w:hAnsi="Aptos"/>
                <w:b w:val="0"/>
                <w:sz w:val="17"/>
              </w:rPr>
              <w:t>Limites applicables, changements, blocages et événements associés, selon les exigences approuvées.</w:t>
            </w:r>
          </w:p>
        </w:tc>
      </w:tr>
      <w:tr>
        <w:tc>
          <w:tcPr>
            <w:tcW w:type="dxa" w:w="4968"/>
            <w:vAlign w:val="center"/>
          </w:tcPr>
          <w:p>
            <w:pPr>
              <w:spacing w:after="20"/>
            </w:pPr>
            <w:r/>
            <w:r>
              <w:rPr>
                <w:rFonts w:ascii="Aptos" w:hAnsi="Aptos"/>
                <w:b w:val="0"/>
                <w:sz w:val="17"/>
              </w:rPr>
              <w:t>admin_actions / audit_logs</w:t>
            </w:r>
          </w:p>
        </w:tc>
        <w:tc>
          <w:tcPr>
            <w:tcW w:type="dxa" w:w="4968"/>
            <w:vAlign w:val="center"/>
          </w:tcPr>
          <w:p>
            <w:pPr>
              <w:spacing w:after="20"/>
            </w:pPr>
            <w:r/>
            <w:r>
              <w:rPr>
                <w:rFonts w:ascii="Aptos" w:hAnsi="Aptos"/>
                <w:b w:val="0"/>
                <w:sz w:val="17"/>
              </w:rPr>
              <w:t>Acteur, action, ressource, avant/après si approprié, date, motif et résultat.</w:t>
            </w:r>
          </w:p>
        </w:tc>
      </w:tr>
    </w:tbl>
    <w:p/>
    <w:p>
      <w:pPr>
        <w:pStyle w:val="Heading2"/>
      </w:pPr>
      <w:r>
        <w:t>5.1 Contraintes de données critiques</w:t>
      </w:r>
    </w:p>
    <w:p>
      <w:pPr>
        <w:pStyle w:val="ListBullet"/>
        <w:spacing w:after="40"/>
      </w:pPr>
      <w:r>
        <w:t>Montants financiers stockés en type décimal exact ou unité monétaire entière ; jamais en float.</w:t>
      </w:r>
    </w:p>
    <w:p>
      <w:pPr>
        <w:pStyle w:val="ListBullet"/>
        <w:spacing w:after="40"/>
      </w:pPr>
      <w:r>
        <w:t>Références internes uniques pour tickets, transactions, webhooks et règlements.</w:t>
      </w:r>
    </w:p>
    <w:p>
      <w:pPr>
        <w:pStyle w:val="ListBullet"/>
        <w:spacing w:after="40"/>
      </w:pPr>
      <w:r>
        <w:t>Index sur utilisateur/date, événement/statut, ticket/référence et ledger/référence métier.</w:t>
      </w:r>
    </w:p>
    <w:p>
      <w:pPr>
        <w:pStyle w:val="ListBullet"/>
        <w:spacing w:after="40"/>
      </w:pPr>
      <w:r>
        <w:t>Pas de suppression silencieuse d’une écriture financière ; corrections via écritures compensatoires.</w:t>
      </w:r>
    </w:p>
    <w:p>
      <w:pPr>
        <w:pStyle w:val="ListBullet"/>
        <w:spacing w:after="40"/>
      </w:pPr>
      <w:r>
        <w:t>Stocker l’instantané de la cote acceptée et la version des règles afin d’expliquer un ticket passé.</w:t>
      </w:r>
    </w:p>
    <w:p>
      <w:pPr>
        <w:pStyle w:val="Heading1"/>
      </w:pPr>
      <w:r>
        <w:t>6. Contrats API à prévoir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Groupe</w:t>
            </w:r>
          </w:p>
        </w:tc>
        <w:tc>
          <w:tcPr>
            <w:tcW w:type="dxa" w:w="3312"/>
            <w:vAlign w:val="center"/>
            <w:shd w:fill="17365D"/>
          </w:tcPr>
          <w:p>
            <w:pPr>
              <w:spacing w:after="20"/>
            </w:pPr>
            <w:r/>
            <w:r>
              <w:rPr>
                <w:rFonts w:ascii="Aptos" w:hAnsi="Aptos"/>
                <w:b/>
                <w:color w:val="FFFFFF"/>
                <w:sz w:val="18"/>
              </w:rPr>
              <w:t>Exemples de routes</w:t>
            </w:r>
          </w:p>
        </w:tc>
        <w:tc>
          <w:tcPr>
            <w:tcW w:type="dxa" w:w="3312"/>
            <w:vAlign w:val="center"/>
            <w:shd w:fill="17365D"/>
          </w:tcPr>
          <w:p>
            <w:pPr>
              <w:spacing w:after="20"/>
            </w:pPr>
            <w:r/>
            <w:r>
              <w:rPr>
                <w:rFonts w:ascii="Aptos" w:hAnsi="Aptos"/>
                <w:b/>
                <w:color w:val="FFFFFF"/>
                <w:sz w:val="18"/>
              </w:rPr>
              <w:t>Contrôles essentiels</w:t>
            </w:r>
          </w:p>
        </w:tc>
      </w:tr>
      <w:tr>
        <w:tc>
          <w:tcPr>
            <w:tcW w:type="dxa" w:w="3312"/>
            <w:vAlign w:val="center"/>
          </w:tcPr>
          <w:p>
            <w:pPr>
              <w:spacing w:after="20"/>
            </w:pPr>
            <w:r/>
            <w:r>
              <w:rPr>
                <w:rFonts w:ascii="Aptos" w:hAnsi="Aptos"/>
                <w:b w:val="0"/>
                <w:sz w:val="17"/>
              </w:rPr>
              <w:t>Public</w:t>
            </w:r>
          </w:p>
        </w:tc>
        <w:tc>
          <w:tcPr>
            <w:tcW w:type="dxa" w:w="3312"/>
            <w:vAlign w:val="center"/>
          </w:tcPr>
          <w:p>
            <w:pPr>
              <w:spacing w:after="20"/>
            </w:pPr>
            <w:r/>
            <w:r>
              <w:rPr>
                <w:rFonts w:ascii="Aptos" w:hAnsi="Aptos"/>
                <w:b w:val="0"/>
                <w:sz w:val="17"/>
              </w:rPr>
              <w:t>GET /api/v1/sports ; /competitions ; /events ; /events/{id}/markets</w:t>
            </w:r>
          </w:p>
        </w:tc>
        <w:tc>
          <w:tcPr>
            <w:tcW w:type="dxa" w:w="3312"/>
            <w:vAlign w:val="center"/>
          </w:tcPr>
          <w:p>
            <w:pPr>
              <w:spacing w:after="20"/>
            </w:pPr>
            <w:r/>
            <w:r>
              <w:rPr>
                <w:rFonts w:ascii="Aptos" w:hAnsi="Aptos"/>
                <w:b w:val="0"/>
                <w:sz w:val="17"/>
              </w:rPr>
              <w:t>Filtrer les événements fermés et les cotes périmées.</w:t>
            </w:r>
          </w:p>
        </w:tc>
      </w:tr>
      <w:tr>
        <w:tc>
          <w:tcPr>
            <w:tcW w:type="dxa" w:w="3312"/>
            <w:vAlign w:val="center"/>
            <w:shd w:fill="F2F5F8"/>
          </w:tcPr>
          <w:p>
            <w:pPr>
              <w:spacing w:after="20"/>
            </w:pPr>
            <w:r/>
            <w:r>
              <w:rPr>
                <w:rFonts w:ascii="Aptos" w:hAnsi="Aptos"/>
                <w:b w:val="0"/>
                <w:sz w:val="17"/>
              </w:rPr>
              <w:t>Compte</w:t>
            </w:r>
          </w:p>
        </w:tc>
        <w:tc>
          <w:tcPr>
            <w:tcW w:type="dxa" w:w="3312"/>
            <w:vAlign w:val="center"/>
            <w:shd w:fill="F2F5F8"/>
          </w:tcPr>
          <w:p>
            <w:pPr>
              <w:spacing w:after="20"/>
            </w:pPr>
            <w:r/>
            <w:r>
              <w:rPr>
                <w:rFonts w:ascii="Aptos" w:hAnsi="Aptos"/>
                <w:b w:val="0"/>
                <w:sz w:val="17"/>
              </w:rPr>
              <w:t>POST /api/v1/auth/register ; /login ; /logout ; GET /me</w:t>
            </w:r>
          </w:p>
        </w:tc>
        <w:tc>
          <w:tcPr>
            <w:tcW w:type="dxa" w:w="3312"/>
            <w:vAlign w:val="center"/>
            <w:shd w:fill="F2F5F8"/>
          </w:tcPr>
          <w:p>
            <w:pPr>
              <w:spacing w:after="20"/>
            </w:pPr>
            <w:r/>
            <w:r>
              <w:rPr>
                <w:rFonts w:ascii="Aptos" w:hAnsi="Aptos"/>
                <w:b w:val="0"/>
                <w:sz w:val="17"/>
              </w:rPr>
              <w:t>Validation, limitation de tentatives, sessions sécurisées.</w:t>
            </w:r>
          </w:p>
        </w:tc>
      </w:tr>
      <w:tr>
        <w:tc>
          <w:tcPr>
            <w:tcW w:type="dxa" w:w="3312"/>
            <w:vAlign w:val="center"/>
          </w:tcPr>
          <w:p>
            <w:pPr>
              <w:spacing w:after="20"/>
            </w:pPr>
            <w:r/>
            <w:r>
              <w:rPr>
                <w:rFonts w:ascii="Aptos" w:hAnsi="Aptos"/>
                <w:b w:val="0"/>
                <w:sz w:val="17"/>
              </w:rPr>
              <w:t>Tickets</w:t>
            </w:r>
          </w:p>
        </w:tc>
        <w:tc>
          <w:tcPr>
            <w:tcW w:type="dxa" w:w="3312"/>
            <w:vAlign w:val="center"/>
          </w:tcPr>
          <w:p>
            <w:pPr>
              <w:spacing w:after="20"/>
            </w:pPr>
            <w:r/>
            <w:r>
              <w:rPr>
                <w:rFonts w:ascii="Aptos" w:hAnsi="Aptos"/>
                <w:b w:val="0"/>
                <w:sz w:val="17"/>
              </w:rPr>
              <w:t>POST /api/v1/bets ; GET /api/v1/bets ; GET /api/v1/bets/{id}</w:t>
            </w:r>
          </w:p>
        </w:tc>
        <w:tc>
          <w:tcPr>
            <w:tcW w:type="dxa" w:w="3312"/>
            <w:vAlign w:val="center"/>
          </w:tcPr>
          <w:p>
            <w:pPr>
              <w:spacing w:after="20"/>
            </w:pPr>
            <w:r/>
            <w:r>
              <w:rPr>
                <w:rFonts w:ascii="Aptos" w:hAnsi="Aptos"/>
                <w:b w:val="0"/>
                <w:sz w:val="17"/>
              </w:rPr>
              <w:t>Autorisation, idempotence, cote actuelle, limites et solde.</w:t>
            </w:r>
          </w:p>
        </w:tc>
      </w:tr>
      <w:tr>
        <w:tc>
          <w:tcPr>
            <w:tcW w:type="dxa" w:w="3312"/>
            <w:vAlign w:val="center"/>
            <w:shd w:fill="F2F5F8"/>
          </w:tcPr>
          <w:p>
            <w:pPr>
              <w:spacing w:after="20"/>
            </w:pPr>
            <w:r/>
            <w:r>
              <w:rPr>
                <w:rFonts w:ascii="Aptos" w:hAnsi="Aptos"/>
                <w:b w:val="0"/>
                <w:sz w:val="17"/>
              </w:rPr>
              <w:t>Portefeuille</w:t>
            </w:r>
          </w:p>
        </w:tc>
        <w:tc>
          <w:tcPr>
            <w:tcW w:type="dxa" w:w="3312"/>
            <w:vAlign w:val="center"/>
            <w:shd w:fill="F2F5F8"/>
          </w:tcPr>
          <w:p>
            <w:pPr>
              <w:spacing w:after="20"/>
            </w:pPr>
            <w:r/>
            <w:r>
              <w:rPr>
                <w:rFonts w:ascii="Aptos" w:hAnsi="Aptos"/>
                <w:b w:val="0"/>
                <w:sz w:val="17"/>
              </w:rPr>
              <w:t>GET /api/v1/wallet ; GET /api/v1/wallet/transactions</w:t>
            </w:r>
          </w:p>
        </w:tc>
        <w:tc>
          <w:tcPr>
            <w:tcW w:type="dxa" w:w="3312"/>
            <w:vAlign w:val="center"/>
            <w:shd w:fill="F2F5F8"/>
          </w:tcPr>
          <w:p>
            <w:pPr>
              <w:spacing w:after="20"/>
            </w:pPr>
            <w:r/>
            <w:r>
              <w:rPr>
                <w:rFonts w:ascii="Aptos" w:hAnsi="Aptos"/>
                <w:b w:val="0"/>
                <w:sz w:val="17"/>
              </w:rPr>
              <w:t>Lecture privée ; aucune modification directe du solde depuis le client.</w:t>
            </w:r>
          </w:p>
        </w:tc>
      </w:tr>
      <w:tr>
        <w:tc>
          <w:tcPr>
            <w:tcW w:type="dxa" w:w="3312"/>
            <w:vAlign w:val="center"/>
          </w:tcPr>
          <w:p>
            <w:pPr>
              <w:spacing w:after="20"/>
            </w:pPr>
            <w:r/>
            <w:r>
              <w:rPr>
                <w:rFonts w:ascii="Aptos" w:hAnsi="Aptos"/>
                <w:b w:val="0"/>
                <w:sz w:val="17"/>
              </w:rPr>
              <w:t>Admin</w:t>
            </w:r>
          </w:p>
        </w:tc>
        <w:tc>
          <w:tcPr>
            <w:tcW w:type="dxa" w:w="3312"/>
            <w:vAlign w:val="center"/>
          </w:tcPr>
          <w:p>
            <w:pPr>
              <w:spacing w:after="20"/>
            </w:pPr>
            <w:r/>
            <w:r>
              <w:rPr>
                <w:rFonts w:ascii="Aptos" w:hAnsi="Aptos"/>
                <w:b w:val="0"/>
                <w:sz w:val="17"/>
              </w:rPr>
              <w:t>GET/PATCH /api/v1/admin/events/{id} ; /markets/{id} ; /users/{id}</w:t>
            </w:r>
          </w:p>
        </w:tc>
        <w:tc>
          <w:tcPr>
            <w:tcW w:type="dxa" w:w="3312"/>
            <w:vAlign w:val="center"/>
          </w:tcPr>
          <w:p>
            <w:pPr>
              <w:spacing w:after="20"/>
            </w:pPr>
            <w:r/>
            <w:r>
              <w:rPr>
                <w:rFonts w:ascii="Aptos" w:hAnsi="Aptos"/>
                <w:b w:val="0"/>
                <w:sz w:val="17"/>
              </w:rPr>
              <w:t>RBAC strict, motif requis pour actions sensibles, journal d’audit.</w:t>
            </w:r>
          </w:p>
        </w:tc>
      </w:tr>
      <w:tr>
        <w:tc>
          <w:tcPr>
            <w:tcW w:type="dxa" w:w="3312"/>
            <w:vAlign w:val="center"/>
            <w:shd w:fill="F2F5F8"/>
          </w:tcPr>
          <w:p>
            <w:pPr>
              <w:spacing w:after="20"/>
            </w:pPr>
            <w:r/>
            <w:r>
              <w:rPr>
                <w:rFonts w:ascii="Aptos" w:hAnsi="Aptos"/>
                <w:b w:val="0"/>
                <w:sz w:val="17"/>
              </w:rPr>
              <w:t>Fournisseur</w:t>
            </w:r>
          </w:p>
        </w:tc>
        <w:tc>
          <w:tcPr>
            <w:tcW w:type="dxa" w:w="3312"/>
            <w:vAlign w:val="center"/>
            <w:shd w:fill="F2F5F8"/>
          </w:tcPr>
          <w:p>
            <w:pPr>
              <w:spacing w:after="20"/>
            </w:pPr>
            <w:r/>
            <w:r>
              <w:rPr>
                <w:rFonts w:ascii="Aptos" w:hAnsi="Aptos"/>
                <w:b w:val="0"/>
                <w:sz w:val="17"/>
              </w:rPr>
              <w:t>Endpoints privés de webhook ou tâches de synchronisation</w:t>
            </w:r>
          </w:p>
        </w:tc>
        <w:tc>
          <w:tcPr>
            <w:tcW w:type="dxa" w:w="3312"/>
            <w:vAlign w:val="center"/>
            <w:shd w:fill="F2F5F8"/>
          </w:tcPr>
          <w:p>
            <w:pPr>
              <w:spacing w:after="20"/>
            </w:pPr>
            <w:r/>
            <w:r>
              <w:rPr>
                <w:rFonts w:ascii="Aptos" w:hAnsi="Aptos"/>
                <w:b w:val="0"/>
                <w:sz w:val="17"/>
              </w:rPr>
              <w:t>Signature/authenticité, horodatage, anti-rejeu, idempotence.</w:t>
            </w:r>
          </w:p>
        </w:tc>
      </w:tr>
    </w:tbl>
    <w:p/>
    <w:p>
      <w:r>
        <w:t>Les chemins sont indicatifs. Les schémas JSON, codes d’erreur, permissions et règles exactes doivent être consignés dans OpenAPI avant intégration frontend.</w:t>
      </w:r>
    </w:p>
    <w:p>
      <w:pPr>
        <w:pStyle w:val="Heading1"/>
      </w:pPr>
      <w:r>
        <w:t>7. Panneau d’administration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Espace</w:t>
            </w:r>
          </w:p>
        </w:tc>
        <w:tc>
          <w:tcPr>
            <w:tcW w:type="dxa" w:w="3312"/>
            <w:vAlign w:val="center"/>
            <w:shd w:fill="17365D"/>
          </w:tcPr>
          <w:p>
            <w:pPr>
              <w:spacing w:after="20"/>
            </w:pPr>
            <w:r/>
            <w:r>
              <w:rPr>
                <w:rFonts w:ascii="Aptos" w:hAnsi="Aptos"/>
                <w:b/>
                <w:color w:val="FFFFFF"/>
                <w:sz w:val="18"/>
              </w:rPr>
              <w:t>Fonctions V1</w:t>
            </w:r>
          </w:p>
        </w:tc>
        <w:tc>
          <w:tcPr>
            <w:tcW w:type="dxa" w:w="3312"/>
            <w:vAlign w:val="center"/>
            <w:shd w:fill="17365D"/>
          </w:tcPr>
          <w:p>
            <w:pPr>
              <w:spacing w:after="20"/>
            </w:pPr>
            <w:r/>
            <w:r>
              <w:rPr>
                <w:rFonts w:ascii="Aptos" w:hAnsi="Aptos"/>
                <w:b/>
                <w:color w:val="FFFFFF"/>
                <w:sz w:val="18"/>
              </w:rPr>
              <w:t>Permissions recommandées</w:t>
            </w:r>
          </w:p>
        </w:tc>
      </w:tr>
      <w:tr>
        <w:tc>
          <w:tcPr>
            <w:tcW w:type="dxa" w:w="3312"/>
            <w:vAlign w:val="center"/>
          </w:tcPr>
          <w:p>
            <w:pPr>
              <w:spacing w:after="20"/>
            </w:pPr>
            <w:r/>
            <w:r>
              <w:rPr>
                <w:rFonts w:ascii="Aptos" w:hAnsi="Aptos"/>
                <w:b w:val="0"/>
                <w:sz w:val="17"/>
              </w:rPr>
              <w:t>Vue d’ensemble</w:t>
            </w:r>
          </w:p>
        </w:tc>
        <w:tc>
          <w:tcPr>
            <w:tcW w:type="dxa" w:w="3312"/>
            <w:vAlign w:val="center"/>
          </w:tcPr>
          <w:p>
            <w:pPr>
              <w:spacing w:after="20"/>
            </w:pPr>
            <w:r/>
            <w:r>
              <w:rPr>
                <w:rFonts w:ascii="Aptos" w:hAnsi="Aptos"/>
                <w:b w:val="0"/>
                <w:sz w:val="17"/>
              </w:rPr>
              <w:t>État du service, synchronisation des données, alertes, tickets et opérations en attente.</w:t>
            </w:r>
          </w:p>
        </w:tc>
        <w:tc>
          <w:tcPr>
            <w:tcW w:type="dxa" w:w="3312"/>
            <w:vAlign w:val="center"/>
          </w:tcPr>
          <w:p>
            <w:pPr>
              <w:spacing w:after="20"/>
            </w:pPr>
            <w:r/>
            <w:r>
              <w:rPr>
                <w:rFonts w:ascii="Aptos" w:hAnsi="Aptos"/>
                <w:b w:val="0"/>
                <w:sz w:val="17"/>
              </w:rPr>
              <w:t>Lecture selon rôle</w:t>
            </w:r>
          </w:p>
        </w:tc>
      </w:tr>
      <w:tr>
        <w:tc>
          <w:tcPr>
            <w:tcW w:type="dxa" w:w="3312"/>
            <w:vAlign w:val="center"/>
            <w:shd w:fill="F2F5F8"/>
          </w:tcPr>
          <w:p>
            <w:pPr>
              <w:spacing w:after="20"/>
            </w:pPr>
            <w:r/>
            <w:r>
              <w:rPr>
                <w:rFonts w:ascii="Aptos" w:hAnsi="Aptos"/>
                <w:b w:val="0"/>
                <w:sz w:val="17"/>
              </w:rPr>
              <w:t>Événements &amp; marchés</w:t>
            </w:r>
          </w:p>
        </w:tc>
        <w:tc>
          <w:tcPr>
            <w:tcW w:type="dxa" w:w="3312"/>
            <w:vAlign w:val="center"/>
            <w:shd w:fill="F2F5F8"/>
          </w:tcPr>
          <w:p>
            <w:pPr>
              <w:spacing w:after="20"/>
            </w:pPr>
            <w:r/>
            <w:r>
              <w:rPr>
                <w:rFonts w:ascii="Aptos" w:hAnsi="Aptos"/>
                <w:b w:val="0"/>
                <w:sz w:val="17"/>
              </w:rPr>
              <w:t>Consulter les événements, suspendre/masquer un marché, voir l’origine et la fraîcheur des données.</w:t>
            </w:r>
          </w:p>
        </w:tc>
        <w:tc>
          <w:tcPr>
            <w:tcW w:type="dxa" w:w="3312"/>
            <w:vAlign w:val="center"/>
            <w:shd w:fill="F2F5F8"/>
          </w:tcPr>
          <w:p>
            <w:pPr>
              <w:spacing w:after="20"/>
            </w:pPr>
            <w:r/>
            <w:r>
              <w:rPr>
                <w:rFonts w:ascii="Aptos" w:hAnsi="Aptos"/>
                <w:b w:val="0"/>
                <w:sz w:val="17"/>
              </w:rPr>
              <w:t>Opérateur habilité ; actions auditées</w:t>
            </w:r>
          </w:p>
        </w:tc>
      </w:tr>
      <w:tr>
        <w:tc>
          <w:tcPr>
            <w:tcW w:type="dxa" w:w="3312"/>
            <w:vAlign w:val="center"/>
          </w:tcPr>
          <w:p>
            <w:pPr>
              <w:spacing w:after="20"/>
            </w:pPr>
            <w:r/>
            <w:r>
              <w:rPr>
                <w:rFonts w:ascii="Aptos" w:hAnsi="Aptos"/>
                <w:b w:val="0"/>
                <w:sz w:val="17"/>
              </w:rPr>
              <w:t>Résultats &amp; règlement</w:t>
            </w:r>
          </w:p>
        </w:tc>
        <w:tc>
          <w:tcPr>
            <w:tcW w:type="dxa" w:w="3312"/>
            <w:vAlign w:val="center"/>
          </w:tcPr>
          <w:p>
            <w:pPr>
              <w:spacing w:after="20"/>
            </w:pPr>
            <w:r/>
            <w:r>
              <w:rPr>
                <w:rFonts w:ascii="Aptos" w:hAnsi="Aptos"/>
                <w:b w:val="0"/>
                <w:sz w:val="17"/>
              </w:rPr>
              <w:t>Consulter les résultats, lancer une vérification contrôlée et suivre les règlements.</w:t>
            </w:r>
          </w:p>
        </w:tc>
        <w:tc>
          <w:tcPr>
            <w:tcW w:type="dxa" w:w="3312"/>
            <w:vAlign w:val="center"/>
          </w:tcPr>
          <w:p>
            <w:pPr>
              <w:spacing w:after="20"/>
            </w:pPr>
            <w:r/>
            <w:r>
              <w:rPr>
                <w:rFonts w:ascii="Aptos" w:hAnsi="Aptos"/>
                <w:b w:val="0"/>
                <w:sz w:val="17"/>
              </w:rPr>
              <w:t>Rôle résultat/finance séparé</w:t>
            </w:r>
          </w:p>
        </w:tc>
      </w:tr>
      <w:tr>
        <w:tc>
          <w:tcPr>
            <w:tcW w:type="dxa" w:w="3312"/>
            <w:vAlign w:val="center"/>
            <w:shd w:fill="F2F5F8"/>
          </w:tcPr>
          <w:p>
            <w:pPr>
              <w:spacing w:after="20"/>
            </w:pPr>
            <w:r/>
            <w:r>
              <w:rPr>
                <w:rFonts w:ascii="Aptos" w:hAnsi="Aptos"/>
                <w:b w:val="0"/>
                <w:sz w:val="17"/>
              </w:rPr>
              <w:t>Utilisateurs</w:t>
            </w:r>
          </w:p>
        </w:tc>
        <w:tc>
          <w:tcPr>
            <w:tcW w:type="dxa" w:w="3312"/>
            <w:vAlign w:val="center"/>
            <w:shd w:fill="F2F5F8"/>
          </w:tcPr>
          <w:p>
            <w:pPr>
              <w:spacing w:after="20"/>
            </w:pPr>
            <w:r/>
            <w:r>
              <w:rPr>
                <w:rFonts w:ascii="Aptos" w:hAnsi="Aptos"/>
                <w:b w:val="0"/>
                <w:sz w:val="17"/>
              </w:rPr>
              <w:t>Rechercher un compte, consulter son statut et appliquer une suspension autorisée.</w:t>
            </w:r>
          </w:p>
        </w:tc>
        <w:tc>
          <w:tcPr>
            <w:tcW w:type="dxa" w:w="3312"/>
            <w:vAlign w:val="center"/>
            <w:shd w:fill="F2F5F8"/>
          </w:tcPr>
          <w:p>
            <w:pPr>
              <w:spacing w:after="20"/>
            </w:pPr>
            <w:r/>
            <w:r>
              <w:rPr>
                <w:rFonts w:ascii="Aptos" w:hAnsi="Aptos"/>
                <w:b w:val="0"/>
                <w:sz w:val="17"/>
              </w:rPr>
              <w:t>Support limité ; données minimales</w:t>
            </w:r>
          </w:p>
        </w:tc>
      </w:tr>
      <w:tr>
        <w:tc>
          <w:tcPr>
            <w:tcW w:type="dxa" w:w="3312"/>
            <w:vAlign w:val="center"/>
          </w:tcPr>
          <w:p>
            <w:pPr>
              <w:spacing w:after="20"/>
            </w:pPr>
            <w:r/>
            <w:r>
              <w:rPr>
                <w:rFonts w:ascii="Aptos" w:hAnsi="Aptos"/>
                <w:b w:val="0"/>
                <w:sz w:val="17"/>
              </w:rPr>
              <w:t>Tickets</w:t>
            </w:r>
          </w:p>
        </w:tc>
        <w:tc>
          <w:tcPr>
            <w:tcW w:type="dxa" w:w="3312"/>
            <w:vAlign w:val="center"/>
          </w:tcPr>
          <w:p>
            <w:pPr>
              <w:spacing w:after="20"/>
            </w:pPr>
            <w:r/>
            <w:r>
              <w:rPr>
                <w:rFonts w:ascii="Aptos" w:hAnsi="Aptos"/>
                <w:b w:val="0"/>
                <w:sz w:val="17"/>
              </w:rPr>
              <w:t>Recherche par référence, statut, date et utilisateur ; consultation de l’historique.</w:t>
            </w:r>
          </w:p>
        </w:tc>
        <w:tc>
          <w:tcPr>
            <w:tcW w:type="dxa" w:w="3312"/>
            <w:vAlign w:val="center"/>
          </w:tcPr>
          <w:p>
            <w:pPr>
              <w:spacing w:after="20"/>
            </w:pPr>
            <w:r/>
            <w:r>
              <w:rPr>
                <w:rFonts w:ascii="Aptos" w:hAnsi="Aptos"/>
                <w:b w:val="0"/>
                <w:sz w:val="17"/>
              </w:rPr>
              <w:t>Lecture contrôlée</w:t>
            </w:r>
          </w:p>
        </w:tc>
      </w:tr>
      <w:tr>
        <w:tc>
          <w:tcPr>
            <w:tcW w:type="dxa" w:w="3312"/>
            <w:vAlign w:val="center"/>
            <w:shd w:fill="F2F5F8"/>
          </w:tcPr>
          <w:p>
            <w:pPr>
              <w:spacing w:after="20"/>
            </w:pPr>
            <w:r/>
            <w:r>
              <w:rPr>
                <w:rFonts w:ascii="Aptos" w:hAnsi="Aptos"/>
                <w:b w:val="0"/>
                <w:sz w:val="17"/>
              </w:rPr>
              <w:t>Finance</w:t>
            </w:r>
          </w:p>
        </w:tc>
        <w:tc>
          <w:tcPr>
            <w:tcW w:type="dxa" w:w="3312"/>
            <w:vAlign w:val="center"/>
            <w:shd w:fill="F2F5F8"/>
          </w:tcPr>
          <w:p>
            <w:pPr>
              <w:spacing w:after="20"/>
            </w:pPr>
            <w:r/>
            <w:r>
              <w:rPr>
                <w:rFonts w:ascii="Aptos" w:hAnsi="Aptos"/>
                <w:b w:val="0"/>
                <w:sz w:val="17"/>
              </w:rPr>
              <w:t>Ledger, rapprochement, opérations en attente, rapports et écarts.</w:t>
            </w:r>
          </w:p>
        </w:tc>
        <w:tc>
          <w:tcPr>
            <w:tcW w:type="dxa" w:w="3312"/>
            <w:vAlign w:val="center"/>
            <w:shd w:fill="F2F5F8"/>
          </w:tcPr>
          <w:p>
            <w:pPr>
              <w:spacing w:after="20"/>
            </w:pPr>
            <w:r/>
            <w:r>
              <w:rPr>
                <w:rFonts w:ascii="Aptos" w:hAnsi="Aptos"/>
                <w:b w:val="0"/>
                <w:sz w:val="17"/>
              </w:rPr>
              <w:t>Finance ; double validation pour corrections critiques</w:t>
            </w:r>
          </w:p>
        </w:tc>
      </w:tr>
      <w:tr>
        <w:tc>
          <w:tcPr>
            <w:tcW w:type="dxa" w:w="3312"/>
            <w:vAlign w:val="center"/>
          </w:tcPr>
          <w:p>
            <w:pPr>
              <w:spacing w:after="20"/>
            </w:pPr>
            <w:r/>
            <w:r>
              <w:rPr>
                <w:rFonts w:ascii="Aptos" w:hAnsi="Aptos"/>
                <w:b w:val="0"/>
                <w:sz w:val="17"/>
              </w:rPr>
              <w:t>Paramètres</w:t>
            </w:r>
          </w:p>
        </w:tc>
        <w:tc>
          <w:tcPr>
            <w:tcW w:type="dxa" w:w="3312"/>
            <w:vAlign w:val="center"/>
          </w:tcPr>
          <w:p>
            <w:pPr>
              <w:spacing w:after="20"/>
            </w:pPr>
            <w:r/>
            <w:r>
              <w:rPr>
                <w:rFonts w:ascii="Aptos" w:hAnsi="Aptos"/>
                <w:b w:val="0"/>
                <w:sz w:val="17"/>
              </w:rPr>
              <w:t>Limites, règles et configuration fournisseur.</w:t>
            </w:r>
          </w:p>
        </w:tc>
        <w:tc>
          <w:tcPr>
            <w:tcW w:type="dxa" w:w="3312"/>
            <w:vAlign w:val="center"/>
          </w:tcPr>
          <w:p>
            <w:pPr>
              <w:spacing w:after="20"/>
            </w:pPr>
            <w:r/>
            <w:r>
              <w:rPr>
                <w:rFonts w:ascii="Aptos" w:hAnsi="Aptos"/>
                <w:b w:val="0"/>
                <w:sz w:val="17"/>
              </w:rPr>
              <w:t>Administrateur autorisé ; changements versionnés</w:t>
            </w:r>
          </w:p>
        </w:tc>
      </w:tr>
      <w:tr>
        <w:tc>
          <w:tcPr>
            <w:tcW w:type="dxa" w:w="3312"/>
            <w:vAlign w:val="center"/>
            <w:shd w:fill="F2F5F8"/>
          </w:tcPr>
          <w:p>
            <w:pPr>
              <w:spacing w:after="20"/>
            </w:pPr>
            <w:r/>
            <w:r>
              <w:rPr>
                <w:rFonts w:ascii="Aptos" w:hAnsi="Aptos"/>
                <w:b w:val="0"/>
                <w:sz w:val="17"/>
              </w:rPr>
              <w:t>Audit &amp; rapports</w:t>
            </w:r>
          </w:p>
        </w:tc>
        <w:tc>
          <w:tcPr>
            <w:tcW w:type="dxa" w:w="3312"/>
            <w:vAlign w:val="center"/>
            <w:shd w:fill="F2F5F8"/>
          </w:tcPr>
          <w:p>
            <w:pPr>
              <w:spacing w:after="20"/>
            </w:pPr>
            <w:r/>
            <w:r>
              <w:rPr>
                <w:rFonts w:ascii="Aptos" w:hAnsi="Aptos"/>
                <w:b w:val="0"/>
                <w:sz w:val="17"/>
              </w:rPr>
              <w:t>Actions sensibles, exports, erreurs et statistiques d’exploitation.</w:t>
            </w:r>
          </w:p>
        </w:tc>
        <w:tc>
          <w:tcPr>
            <w:tcW w:type="dxa" w:w="3312"/>
            <w:vAlign w:val="center"/>
            <w:shd w:fill="F2F5F8"/>
          </w:tcPr>
          <w:p>
            <w:pPr>
              <w:spacing w:after="20"/>
            </w:pPr>
            <w:r/>
            <w:r>
              <w:rPr>
                <w:rFonts w:ascii="Aptos" w:hAnsi="Aptos"/>
                <w:b w:val="0"/>
                <w:sz w:val="17"/>
              </w:rPr>
              <w:t>Accès limité et journalisé</w:t>
            </w:r>
          </w:p>
        </w:tc>
      </w:tr>
    </w:tbl>
    <w:p/>
    <w:p>
      <w:r>
        <w:t>Les comptes Super Administrateur, Opérations, Finance, Support et Conformité doivent être séparés. Aucun rôle ne doit pouvoir s’accorder lui-même des permissions supplémentaires.</w:t>
      </w:r>
    </w:p>
    <w:p>
      <w:pPr>
        <w:pStyle w:val="Heading1"/>
      </w:pPr>
      <w:r>
        <w:t>8. Sécurité, conformité et jeu responsable</w:t>
      </w:r>
    </w:p>
    <w:p>
      <w:pPr>
        <w:pStyle w:val="ListBullet"/>
        <w:spacing w:after="40"/>
      </w:pPr>
      <w:r>
        <w:t>Vérifier avant le lancement les licences, autorisations, restrictions territoriales, conditions des fournisseurs sportifs et règles de protection des données applicables.</w:t>
      </w:r>
    </w:p>
    <w:p>
      <w:pPr>
        <w:pStyle w:val="ListBullet"/>
        <w:spacing w:after="40"/>
      </w:pPr>
      <w:r>
        <w:t>Ne pas activer les dépôts, retraits ou paris réels avant validation juridique et contractuelle écrite.</w:t>
      </w:r>
    </w:p>
    <w:p>
      <w:pPr>
        <w:pStyle w:val="ListBullet"/>
        <w:spacing w:after="40"/>
      </w:pPr>
      <w:r>
        <w:t>TLS/HTTPS obligatoire ; secrets hors du code et du frontend ; rotation des clés.</w:t>
      </w:r>
    </w:p>
    <w:p>
      <w:pPr>
        <w:pStyle w:val="ListBullet"/>
        <w:spacing w:after="40"/>
      </w:pPr>
      <w:r>
        <w:t>Mots de passe hachés avec une méthode reconnue ; limitation de tentatives, protection contre l’énumération et récupération de compte sécurisée.</w:t>
      </w:r>
    </w:p>
    <w:p>
      <w:pPr>
        <w:pStyle w:val="ListBullet"/>
        <w:spacing w:after="40"/>
      </w:pPr>
      <w:r>
        <w:t>RBAC appliqué côté API ; MFA pour les rôles administratifs sensibles ; sessions avec expiration et révocation.</w:t>
      </w:r>
    </w:p>
    <w:p>
      <w:pPr>
        <w:pStyle w:val="ListBullet"/>
        <w:spacing w:after="40"/>
      </w:pPr>
      <w:r>
        <w:t>Validation de toutes les entrées, protection CSRF/XSS/SQL injection, politique CORS stricte et limitation de requêtes.</w:t>
      </w:r>
    </w:p>
    <w:p>
      <w:pPr>
        <w:pStyle w:val="ListBullet"/>
        <w:spacing w:after="40"/>
      </w:pPr>
      <w:r>
        <w:t>Webhooks signés si le prestataire le permet ; vérifier signature, montant, devise, référence, date et état avant tout effet financier.</w:t>
      </w:r>
    </w:p>
    <w:p>
      <w:pPr>
        <w:pStyle w:val="ListBullet"/>
        <w:spacing w:after="40"/>
      </w:pPr>
      <w:r>
        <w:t>Prévoir les mécanismes de limite, pause/auto-exclusion et assistance appropriés au cadre légal et au fournisseur retenu.</w:t>
      </w:r>
    </w:p>
    <w:p>
      <w:pPr>
        <w:pStyle w:val="ListBullet"/>
        <w:spacing w:after="40"/>
      </w:pPr>
      <w:r>
        <w:t>Collecter uniquement les données personnelles nécessaires ; définir accès, rétention, suppression et réponse aux incidents.</w:t>
      </w:r>
    </w:p>
    <w:p>
      <w:pPr>
        <w:pStyle w:val="ListBullet"/>
        <w:spacing w:after="40"/>
      </w:pPr>
      <w:r>
        <w:t>Tester uniquement avec données et fonds fictifs en Development/Staging ; ne pas déclencher d’opérations réelles sans autorisation.</w:t>
      </w:r>
    </w:p>
    <w:p>
      <w:pPr>
        <w:pStyle w:val="Heading1"/>
      </w:pPr>
      <w:r>
        <w:t>9. Environnements et livraison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Environnement</w:t>
            </w:r>
          </w:p>
        </w:tc>
        <w:tc>
          <w:tcPr>
            <w:tcW w:type="dxa" w:w="3312"/>
            <w:vAlign w:val="center"/>
            <w:shd w:fill="17365D"/>
          </w:tcPr>
          <w:p>
            <w:pPr>
              <w:spacing w:after="20"/>
            </w:pPr>
            <w:r/>
            <w:r>
              <w:rPr>
                <w:rFonts w:ascii="Aptos" w:hAnsi="Aptos"/>
                <w:b/>
                <w:color w:val="FFFFFF"/>
                <w:sz w:val="18"/>
              </w:rPr>
              <w:t>Usage</w:t>
            </w:r>
          </w:p>
        </w:tc>
        <w:tc>
          <w:tcPr>
            <w:tcW w:type="dxa" w:w="3312"/>
            <w:vAlign w:val="center"/>
            <w:shd w:fill="17365D"/>
          </w:tcPr>
          <w:p>
            <w:pPr>
              <w:spacing w:after="20"/>
            </w:pPr>
            <w:r/>
            <w:r>
              <w:rPr>
                <w:rFonts w:ascii="Aptos" w:hAnsi="Aptos"/>
                <w:b/>
                <w:color w:val="FFFFFF"/>
                <w:sz w:val="18"/>
              </w:rPr>
              <w:t>Règles</w:t>
            </w:r>
          </w:p>
        </w:tc>
      </w:tr>
      <w:tr>
        <w:tc>
          <w:tcPr>
            <w:tcW w:type="dxa" w:w="3312"/>
            <w:vAlign w:val="center"/>
          </w:tcPr>
          <w:p>
            <w:pPr>
              <w:spacing w:after="20"/>
            </w:pPr>
            <w:r/>
            <w:r>
              <w:rPr>
                <w:rFonts w:ascii="Aptos" w:hAnsi="Aptos"/>
                <w:b w:val="0"/>
                <w:sz w:val="17"/>
              </w:rPr>
              <w:t>Development</w:t>
            </w:r>
          </w:p>
        </w:tc>
        <w:tc>
          <w:tcPr>
            <w:tcW w:type="dxa" w:w="3312"/>
            <w:vAlign w:val="center"/>
          </w:tcPr>
          <w:p>
            <w:pPr>
              <w:spacing w:after="20"/>
            </w:pPr>
            <w:r/>
            <w:r>
              <w:rPr>
                <w:rFonts w:ascii="Aptos" w:hAnsi="Aptos"/>
                <w:b w:val="0"/>
                <w:sz w:val="17"/>
              </w:rPr>
              <w:t>Développement local et tests unitaires.</w:t>
            </w:r>
          </w:p>
        </w:tc>
        <w:tc>
          <w:tcPr>
            <w:tcW w:type="dxa" w:w="3312"/>
            <w:vAlign w:val="center"/>
          </w:tcPr>
          <w:p>
            <w:pPr>
              <w:spacing w:after="20"/>
            </w:pPr>
            <w:r/>
            <w:r>
              <w:rPr>
                <w:rFonts w:ascii="Aptos" w:hAnsi="Aptos"/>
                <w:b w:val="0"/>
                <w:sz w:val="17"/>
              </w:rPr>
              <w:t>Données fictives, secrets de test, migrations fréquentes.</w:t>
            </w:r>
          </w:p>
        </w:tc>
      </w:tr>
      <w:tr>
        <w:tc>
          <w:tcPr>
            <w:tcW w:type="dxa" w:w="3312"/>
            <w:vAlign w:val="center"/>
            <w:shd w:fill="F2F5F8"/>
          </w:tcPr>
          <w:p>
            <w:pPr>
              <w:spacing w:after="20"/>
            </w:pPr>
            <w:r/>
            <w:r>
              <w:rPr>
                <w:rFonts w:ascii="Aptos" w:hAnsi="Aptos"/>
                <w:b w:val="0"/>
                <w:sz w:val="17"/>
              </w:rPr>
              <w:t>Staging</w:t>
            </w:r>
          </w:p>
        </w:tc>
        <w:tc>
          <w:tcPr>
            <w:tcW w:type="dxa" w:w="3312"/>
            <w:vAlign w:val="center"/>
            <w:shd w:fill="F2F5F8"/>
          </w:tcPr>
          <w:p>
            <w:pPr>
              <w:spacing w:after="20"/>
            </w:pPr>
            <w:r/>
            <w:r>
              <w:rPr>
                <w:rFonts w:ascii="Aptos" w:hAnsi="Aptos"/>
                <w:b w:val="0"/>
                <w:sz w:val="17"/>
              </w:rPr>
              <w:t>Recette fonctionnelle, intégration fournisseur sandbox et tests E2E.</w:t>
            </w:r>
          </w:p>
        </w:tc>
        <w:tc>
          <w:tcPr>
            <w:tcW w:type="dxa" w:w="3312"/>
            <w:vAlign w:val="center"/>
            <w:shd w:fill="F2F5F8"/>
          </w:tcPr>
          <w:p>
            <w:pPr>
              <w:spacing w:after="20"/>
            </w:pPr>
            <w:r/>
            <w:r>
              <w:rPr>
                <w:rFonts w:ascii="Aptos" w:hAnsi="Aptos"/>
                <w:b w:val="0"/>
                <w:sz w:val="17"/>
              </w:rPr>
              <w:t>Configuration proche de la production ; aucun fonds réel.</w:t>
            </w:r>
          </w:p>
        </w:tc>
      </w:tr>
      <w:tr>
        <w:tc>
          <w:tcPr>
            <w:tcW w:type="dxa" w:w="3312"/>
            <w:vAlign w:val="center"/>
          </w:tcPr>
          <w:p>
            <w:pPr>
              <w:spacing w:after="20"/>
            </w:pPr>
            <w:r/>
            <w:r>
              <w:rPr>
                <w:rFonts w:ascii="Aptos" w:hAnsi="Aptos"/>
                <w:b w:val="0"/>
                <w:sz w:val="17"/>
              </w:rPr>
              <w:t>Production</w:t>
            </w:r>
          </w:p>
        </w:tc>
        <w:tc>
          <w:tcPr>
            <w:tcW w:type="dxa" w:w="3312"/>
            <w:vAlign w:val="center"/>
          </w:tcPr>
          <w:p>
            <w:pPr>
              <w:spacing w:after="20"/>
            </w:pPr>
            <w:r/>
            <w:r>
              <w:rPr>
                <w:rFonts w:ascii="Aptos" w:hAnsi="Aptos"/>
                <w:b w:val="0"/>
                <w:sz w:val="17"/>
              </w:rPr>
              <w:t>Service public après autorisation et validation.</w:t>
            </w:r>
          </w:p>
        </w:tc>
        <w:tc>
          <w:tcPr>
            <w:tcW w:type="dxa" w:w="3312"/>
            <w:vAlign w:val="center"/>
          </w:tcPr>
          <w:p>
            <w:pPr>
              <w:spacing w:after="20"/>
            </w:pPr>
            <w:r/>
            <w:r>
              <w:rPr>
                <w:rFonts w:ascii="Aptos" w:hAnsi="Aptos"/>
                <w:b w:val="0"/>
                <w:sz w:val="17"/>
              </w:rPr>
              <w:t>Accès minimal, sauvegardes, monitoring, secrets séparés et plan de retour arrière.</w:t>
            </w:r>
          </w:p>
        </w:tc>
      </w:tr>
    </w:tbl>
    <w:p/>
    <w:p>
      <w:pPr>
        <w:pStyle w:val="ListBullet"/>
        <w:spacing w:after="40"/>
      </w:pPr>
      <w:r>
        <w:t>Git avec branches convenues, pull requests et revue obligatoire.</w:t>
      </w:r>
    </w:p>
    <w:p>
      <w:pPr>
        <w:pStyle w:val="ListBullet"/>
        <w:spacing w:after="40"/>
      </w:pPr>
      <w:r>
        <w:t>CI : formatage, lint, tests unitaires/intégration, vérification des dépendances et build frontend.</w:t>
      </w:r>
    </w:p>
    <w:p>
      <w:pPr>
        <w:pStyle w:val="ListBullet"/>
        <w:spacing w:after="40"/>
      </w:pPr>
      <w:r>
        <w:t>Déploiement versionné, migrations testées, sauvegarde préalable et procédure de rollback documentée.</w:t>
      </w:r>
    </w:p>
    <w:p>
      <w:pPr>
        <w:pStyle w:val="ListBullet"/>
        <w:spacing w:after="40"/>
      </w:pPr>
      <w:r>
        <w:t>Documentation de configuration sans secrets, commandes de déploiement et guide d’exploitation.</w:t>
      </w:r>
    </w:p>
    <w:p>
      <w:pPr>
        <w:pStyle w:val="Heading1"/>
      </w:pPr>
      <w:r>
        <w:t>10. Plan de développement par phases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Phase</w:t>
            </w:r>
          </w:p>
        </w:tc>
        <w:tc>
          <w:tcPr>
            <w:tcW w:type="dxa" w:w="3312"/>
            <w:vAlign w:val="center"/>
            <w:shd w:fill="17365D"/>
          </w:tcPr>
          <w:p>
            <w:pPr>
              <w:spacing w:after="20"/>
            </w:pPr>
            <w:r/>
            <w:r>
              <w:rPr>
                <w:rFonts w:ascii="Aptos" w:hAnsi="Aptos"/>
                <w:b/>
                <w:color w:val="FFFFFF"/>
                <w:sz w:val="18"/>
              </w:rPr>
              <w:t>Travaux</w:t>
            </w:r>
          </w:p>
        </w:tc>
        <w:tc>
          <w:tcPr>
            <w:tcW w:type="dxa" w:w="3312"/>
            <w:vAlign w:val="center"/>
            <w:shd w:fill="17365D"/>
          </w:tcPr>
          <w:p>
            <w:pPr>
              <w:spacing w:after="20"/>
            </w:pPr>
            <w:r/>
            <w:r>
              <w:rPr>
                <w:rFonts w:ascii="Aptos" w:hAnsi="Aptos"/>
                <w:b/>
                <w:color w:val="FFFFFF"/>
                <w:sz w:val="18"/>
              </w:rPr>
              <w:t>Critère de sortie</w:t>
            </w:r>
          </w:p>
        </w:tc>
      </w:tr>
      <w:tr>
        <w:tc>
          <w:tcPr>
            <w:tcW w:type="dxa" w:w="3312"/>
            <w:vAlign w:val="center"/>
          </w:tcPr>
          <w:p>
            <w:pPr>
              <w:spacing w:after="20"/>
            </w:pPr>
            <w:r/>
            <w:r>
              <w:rPr>
                <w:rFonts w:ascii="Aptos" w:hAnsi="Aptos"/>
                <w:b w:val="0"/>
                <w:sz w:val="17"/>
              </w:rPr>
              <w:t>0 — Décisions &amp; conformité</w:t>
            </w:r>
          </w:p>
        </w:tc>
        <w:tc>
          <w:tcPr>
            <w:tcW w:type="dxa" w:w="3312"/>
            <w:vAlign w:val="center"/>
          </w:tcPr>
          <w:p>
            <w:pPr>
              <w:spacing w:after="20"/>
            </w:pPr>
            <w:r/>
            <w:r>
              <w:rPr>
                <w:rFonts w:ascii="Aptos" w:hAnsi="Aptos"/>
                <w:b w:val="0"/>
                <w:sz w:val="17"/>
              </w:rPr>
              <w:t>Confirmer le territoire, le cadre juridique, le fournisseur sportif, les paiements envisagés, les règles et les limites de la V1.</w:t>
            </w:r>
          </w:p>
        </w:tc>
        <w:tc>
          <w:tcPr>
            <w:tcW w:type="dxa" w:w="3312"/>
            <w:vAlign w:val="center"/>
          </w:tcPr>
          <w:p>
            <w:pPr>
              <w:spacing w:after="20"/>
            </w:pPr>
            <w:r/>
            <w:r>
              <w:rPr>
                <w:rFonts w:ascii="Aptos" w:hAnsi="Aptos"/>
                <w:b w:val="0"/>
                <w:sz w:val="17"/>
              </w:rPr>
              <w:t>Décisions consignées ; dépendances externes confirmées ou explicitement bloquées.</w:t>
            </w:r>
          </w:p>
        </w:tc>
      </w:tr>
      <w:tr>
        <w:tc>
          <w:tcPr>
            <w:tcW w:type="dxa" w:w="3312"/>
            <w:vAlign w:val="center"/>
            <w:shd w:fill="F2F5F8"/>
          </w:tcPr>
          <w:p>
            <w:pPr>
              <w:spacing w:after="20"/>
            </w:pPr>
            <w:r/>
            <w:r>
              <w:rPr>
                <w:rFonts w:ascii="Aptos" w:hAnsi="Aptos"/>
                <w:b w:val="0"/>
                <w:sz w:val="17"/>
              </w:rPr>
              <w:t>1 — Architecture &amp; socle</w:t>
            </w:r>
          </w:p>
        </w:tc>
        <w:tc>
          <w:tcPr>
            <w:tcW w:type="dxa" w:w="3312"/>
            <w:vAlign w:val="center"/>
            <w:shd w:fill="F2F5F8"/>
          </w:tcPr>
          <w:p>
            <w:pPr>
              <w:spacing w:after="20"/>
            </w:pPr>
            <w:r/>
            <w:r>
              <w:rPr>
                <w:rFonts w:ascii="Aptos" w:hAnsi="Aptos"/>
                <w:b w:val="0"/>
                <w:sz w:val="17"/>
              </w:rPr>
              <w:t>Dépôt Git, CI, environnements, schéma initial, conventions, API versionnée et journalisation.</w:t>
            </w:r>
          </w:p>
        </w:tc>
        <w:tc>
          <w:tcPr>
            <w:tcW w:type="dxa" w:w="3312"/>
            <w:vAlign w:val="center"/>
            <w:shd w:fill="F2F5F8"/>
          </w:tcPr>
          <w:p>
            <w:pPr>
              <w:spacing w:after="20"/>
            </w:pPr>
            <w:r/>
            <w:r>
              <w:rPr>
                <w:rFonts w:ascii="Aptos" w:hAnsi="Aptos"/>
                <w:b w:val="0"/>
                <w:sz w:val="17"/>
              </w:rPr>
              <w:t>Application déployée en Staging ; tests et migrations fonctionnels.</w:t>
            </w:r>
          </w:p>
        </w:tc>
      </w:tr>
      <w:tr>
        <w:tc>
          <w:tcPr>
            <w:tcW w:type="dxa" w:w="3312"/>
            <w:vAlign w:val="center"/>
          </w:tcPr>
          <w:p>
            <w:pPr>
              <w:spacing w:after="20"/>
            </w:pPr>
            <w:r/>
            <w:r>
              <w:rPr>
                <w:rFonts w:ascii="Aptos" w:hAnsi="Aptos"/>
                <w:b w:val="0"/>
                <w:sz w:val="17"/>
              </w:rPr>
              <w:t>2 — Identité &amp; rôles</w:t>
            </w:r>
          </w:p>
        </w:tc>
        <w:tc>
          <w:tcPr>
            <w:tcW w:type="dxa" w:w="3312"/>
            <w:vAlign w:val="center"/>
          </w:tcPr>
          <w:p>
            <w:pPr>
              <w:spacing w:after="20"/>
            </w:pPr>
            <w:r/>
            <w:r>
              <w:rPr>
                <w:rFonts w:ascii="Aptos" w:hAnsi="Aptos"/>
                <w:b w:val="0"/>
                <w:sz w:val="17"/>
              </w:rPr>
              <w:t>Inscription/connexion, profil, récupération, RBAC et écran de base.</w:t>
            </w:r>
          </w:p>
        </w:tc>
        <w:tc>
          <w:tcPr>
            <w:tcW w:type="dxa" w:w="3312"/>
            <w:vAlign w:val="center"/>
          </w:tcPr>
          <w:p>
            <w:pPr>
              <w:spacing w:after="20"/>
            </w:pPr>
            <w:r/>
            <w:r>
              <w:rPr>
                <w:rFonts w:ascii="Aptos" w:hAnsi="Aptos"/>
                <w:b w:val="0"/>
                <w:sz w:val="17"/>
              </w:rPr>
              <w:t>Tests d’accès et de session réussis.</w:t>
            </w:r>
          </w:p>
        </w:tc>
      </w:tr>
      <w:tr>
        <w:tc>
          <w:tcPr>
            <w:tcW w:type="dxa" w:w="3312"/>
            <w:vAlign w:val="center"/>
            <w:shd w:fill="F2F5F8"/>
          </w:tcPr>
          <w:p>
            <w:pPr>
              <w:spacing w:after="20"/>
            </w:pPr>
            <w:r/>
            <w:r>
              <w:rPr>
                <w:rFonts w:ascii="Aptos" w:hAnsi="Aptos"/>
                <w:b w:val="0"/>
                <w:sz w:val="17"/>
              </w:rPr>
              <w:t>3 — Données sportives</w:t>
            </w:r>
          </w:p>
        </w:tc>
        <w:tc>
          <w:tcPr>
            <w:tcW w:type="dxa" w:w="3312"/>
            <w:vAlign w:val="center"/>
            <w:shd w:fill="F2F5F8"/>
          </w:tcPr>
          <w:p>
            <w:pPr>
              <w:spacing w:after="20"/>
            </w:pPr>
            <w:r/>
            <w:r>
              <w:rPr>
                <w:rFonts w:ascii="Aptos" w:hAnsi="Aptos"/>
                <w:b w:val="0"/>
                <w:sz w:val="17"/>
              </w:rPr>
              <w:t>Adaptateur fournisseur, synchronisation, événements, marchés, cotes, fraîcheur et suspension en cas d’erreur.</w:t>
            </w:r>
          </w:p>
        </w:tc>
        <w:tc>
          <w:tcPr>
            <w:tcW w:type="dxa" w:w="3312"/>
            <w:vAlign w:val="center"/>
            <w:shd w:fill="F2F5F8"/>
          </w:tcPr>
          <w:p>
            <w:pPr>
              <w:spacing w:after="20"/>
            </w:pPr>
            <w:r/>
            <w:r>
              <w:rPr>
                <w:rFonts w:ascii="Aptos" w:hAnsi="Aptos"/>
                <w:b w:val="0"/>
                <w:sz w:val="17"/>
              </w:rPr>
              <w:t>Données de sandbox cohérentes ; pannes et cotes périmées gérées.</w:t>
            </w:r>
          </w:p>
        </w:tc>
      </w:tr>
      <w:tr>
        <w:tc>
          <w:tcPr>
            <w:tcW w:type="dxa" w:w="3312"/>
            <w:vAlign w:val="center"/>
          </w:tcPr>
          <w:p>
            <w:pPr>
              <w:spacing w:after="20"/>
            </w:pPr>
            <w:r/>
            <w:r>
              <w:rPr>
                <w:rFonts w:ascii="Aptos" w:hAnsi="Aptos"/>
                <w:b w:val="0"/>
                <w:sz w:val="17"/>
              </w:rPr>
              <w:t>4 — Coupon &amp; tickets simulés</w:t>
            </w:r>
          </w:p>
        </w:tc>
        <w:tc>
          <w:tcPr>
            <w:tcW w:type="dxa" w:w="3312"/>
            <w:vAlign w:val="center"/>
          </w:tcPr>
          <w:p>
            <w:pPr>
              <w:spacing w:after="20"/>
            </w:pPr>
            <w:r/>
            <w:r>
              <w:rPr>
                <w:rFonts w:ascii="Aptos" w:hAnsi="Aptos"/>
                <w:b w:val="0"/>
                <w:sz w:val="17"/>
              </w:rPr>
              <w:t>Sélections, validation de cote, mise simulée, ticket, historique et états.</w:t>
            </w:r>
          </w:p>
        </w:tc>
        <w:tc>
          <w:tcPr>
            <w:tcW w:type="dxa" w:w="3312"/>
            <w:vAlign w:val="center"/>
          </w:tcPr>
          <w:p>
            <w:pPr>
              <w:spacing w:after="20"/>
            </w:pPr>
            <w:r/>
            <w:r>
              <w:rPr>
                <w:rFonts w:ascii="Aptos" w:hAnsi="Aptos"/>
                <w:b w:val="0"/>
                <w:sz w:val="17"/>
              </w:rPr>
              <w:t>Tests de doublon, changement de cote et événement fermé réussis.</w:t>
            </w:r>
          </w:p>
        </w:tc>
      </w:tr>
      <w:tr>
        <w:tc>
          <w:tcPr>
            <w:tcW w:type="dxa" w:w="3312"/>
            <w:vAlign w:val="center"/>
            <w:shd w:fill="F2F5F8"/>
          </w:tcPr>
          <w:p>
            <w:pPr>
              <w:spacing w:after="20"/>
            </w:pPr>
            <w:r/>
            <w:r>
              <w:rPr>
                <w:rFonts w:ascii="Aptos" w:hAnsi="Aptos"/>
                <w:b w:val="0"/>
                <w:sz w:val="17"/>
              </w:rPr>
              <w:t>5 — Ledger simulé &amp; règlement</w:t>
            </w:r>
          </w:p>
        </w:tc>
        <w:tc>
          <w:tcPr>
            <w:tcW w:type="dxa" w:w="3312"/>
            <w:vAlign w:val="center"/>
            <w:shd w:fill="F2F5F8"/>
          </w:tcPr>
          <w:p>
            <w:pPr>
              <w:spacing w:after="20"/>
            </w:pPr>
            <w:r/>
            <w:r>
              <w:rPr>
                <w:rFonts w:ascii="Aptos" w:hAnsi="Aptos"/>
                <w:b w:val="0"/>
                <w:sz w:val="17"/>
              </w:rPr>
              <w:t>Écritures fictives, résultats de test, règlement idempotent et rapprochement.</w:t>
            </w:r>
          </w:p>
        </w:tc>
        <w:tc>
          <w:tcPr>
            <w:tcW w:type="dxa" w:w="3312"/>
            <w:vAlign w:val="center"/>
            <w:shd w:fill="F2F5F8"/>
          </w:tcPr>
          <w:p>
            <w:pPr>
              <w:spacing w:after="20"/>
            </w:pPr>
            <w:r/>
            <w:r>
              <w:rPr>
                <w:rFonts w:ascii="Aptos" w:hAnsi="Aptos"/>
                <w:b w:val="0"/>
                <w:sz w:val="17"/>
              </w:rPr>
              <w:t>Aucun double débit/gain ; historique vérifiable.</w:t>
            </w:r>
          </w:p>
        </w:tc>
      </w:tr>
      <w:tr>
        <w:tc>
          <w:tcPr>
            <w:tcW w:type="dxa" w:w="3312"/>
            <w:vAlign w:val="center"/>
          </w:tcPr>
          <w:p>
            <w:pPr>
              <w:spacing w:after="20"/>
            </w:pPr>
            <w:r/>
            <w:r>
              <w:rPr>
                <w:rFonts w:ascii="Aptos" w:hAnsi="Aptos"/>
                <w:b w:val="0"/>
                <w:sz w:val="17"/>
              </w:rPr>
              <w:t>6 — Administration</w:t>
            </w:r>
          </w:p>
        </w:tc>
        <w:tc>
          <w:tcPr>
            <w:tcW w:type="dxa" w:w="3312"/>
            <w:vAlign w:val="center"/>
          </w:tcPr>
          <w:p>
            <w:pPr>
              <w:spacing w:after="20"/>
            </w:pPr>
            <w:r/>
            <w:r>
              <w:rPr>
                <w:rFonts w:ascii="Aptos" w:hAnsi="Aptos"/>
                <w:b w:val="0"/>
                <w:sz w:val="17"/>
              </w:rPr>
              <w:t>Tableaux de bord, gestion événements/marchés, tickets, comptes, rapports et audit.</w:t>
            </w:r>
          </w:p>
        </w:tc>
        <w:tc>
          <w:tcPr>
            <w:tcW w:type="dxa" w:w="3312"/>
            <w:vAlign w:val="center"/>
          </w:tcPr>
          <w:p>
            <w:pPr>
              <w:spacing w:after="20"/>
            </w:pPr>
            <w:r/>
            <w:r>
              <w:rPr>
                <w:rFonts w:ascii="Aptos" w:hAnsi="Aptos"/>
                <w:b w:val="0"/>
                <w:sz w:val="17"/>
              </w:rPr>
              <w:t>Matrice des permissions validée ; actions sensibles tracées.</w:t>
            </w:r>
          </w:p>
        </w:tc>
      </w:tr>
      <w:tr>
        <w:tc>
          <w:tcPr>
            <w:tcW w:type="dxa" w:w="3312"/>
            <w:vAlign w:val="center"/>
            <w:shd w:fill="F2F5F8"/>
          </w:tcPr>
          <w:p>
            <w:pPr>
              <w:spacing w:after="20"/>
            </w:pPr>
            <w:r/>
            <w:r>
              <w:rPr>
                <w:rFonts w:ascii="Aptos" w:hAnsi="Aptos"/>
                <w:b w:val="0"/>
                <w:sz w:val="17"/>
              </w:rPr>
              <w:t>7 — Intégrations autorisées</w:t>
            </w:r>
          </w:p>
        </w:tc>
        <w:tc>
          <w:tcPr>
            <w:tcW w:type="dxa" w:w="3312"/>
            <w:vAlign w:val="center"/>
            <w:shd w:fill="F2F5F8"/>
          </w:tcPr>
          <w:p>
            <w:pPr>
              <w:spacing w:after="20"/>
            </w:pPr>
            <w:r/>
            <w:r>
              <w:rPr>
                <w:rFonts w:ascii="Aptos" w:hAnsi="Aptos"/>
                <w:b w:val="0"/>
                <w:sz w:val="17"/>
              </w:rPr>
              <w:t>Paiements et flux réels uniquement après contrat, sandbox, approbation et validation conformité.</w:t>
            </w:r>
          </w:p>
        </w:tc>
        <w:tc>
          <w:tcPr>
            <w:tcW w:type="dxa" w:w="3312"/>
            <w:vAlign w:val="center"/>
            <w:shd w:fill="F2F5F8"/>
          </w:tcPr>
          <w:p>
            <w:pPr>
              <w:spacing w:after="20"/>
            </w:pPr>
            <w:r/>
            <w:r>
              <w:rPr>
                <w:rFonts w:ascii="Aptos" w:hAnsi="Aptos"/>
                <w:b w:val="0"/>
                <w:sz w:val="17"/>
              </w:rPr>
              <w:t>Tests contractuels et rapprochement approuvés.</w:t>
            </w:r>
          </w:p>
        </w:tc>
      </w:tr>
      <w:tr>
        <w:tc>
          <w:tcPr>
            <w:tcW w:type="dxa" w:w="3312"/>
            <w:vAlign w:val="center"/>
          </w:tcPr>
          <w:p>
            <w:pPr>
              <w:spacing w:after="20"/>
            </w:pPr>
            <w:r/>
            <w:r>
              <w:rPr>
                <w:rFonts w:ascii="Aptos" w:hAnsi="Aptos"/>
                <w:b w:val="0"/>
                <w:sz w:val="17"/>
              </w:rPr>
              <w:t>8 — QA &amp; préparation production</w:t>
            </w:r>
          </w:p>
        </w:tc>
        <w:tc>
          <w:tcPr>
            <w:tcW w:type="dxa" w:w="3312"/>
            <w:vAlign w:val="center"/>
          </w:tcPr>
          <w:p>
            <w:pPr>
              <w:spacing w:after="20"/>
            </w:pPr>
            <w:r/>
            <w:r>
              <w:rPr>
                <w:rFonts w:ascii="Aptos" w:hAnsi="Aptos"/>
                <w:b w:val="0"/>
                <w:sz w:val="17"/>
              </w:rPr>
              <w:t>Tests sécurité, charge adaptée, restauration backup, recette et procédure d’incident.</w:t>
            </w:r>
          </w:p>
        </w:tc>
        <w:tc>
          <w:tcPr>
            <w:tcW w:type="dxa" w:w="3312"/>
            <w:vAlign w:val="center"/>
          </w:tcPr>
          <w:p>
            <w:pPr>
              <w:spacing w:after="20"/>
            </w:pPr>
            <w:r/>
            <w:r>
              <w:rPr>
                <w:rFonts w:ascii="Aptos" w:hAnsi="Aptos"/>
                <w:b w:val="0"/>
                <w:sz w:val="17"/>
              </w:rPr>
              <w:t>Aucune anomalie bloquante ; checklist signée.</w:t>
            </w:r>
          </w:p>
        </w:tc>
      </w:tr>
      <w:tr>
        <w:tc>
          <w:tcPr>
            <w:tcW w:type="dxa" w:w="3312"/>
            <w:vAlign w:val="center"/>
            <w:shd w:fill="F2F5F8"/>
          </w:tcPr>
          <w:p>
            <w:pPr>
              <w:spacing w:after="20"/>
            </w:pPr>
            <w:r/>
            <w:r>
              <w:rPr>
                <w:rFonts w:ascii="Aptos" w:hAnsi="Aptos"/>
                <w:b w:val="0"/>
                <w:sz w:val="17"/>
              </w:rPr>
              <w:t>9 — Lancement contrôlé</w:t>
            </w:r>
          </w:p>
        </w:tc>
        <w:tc>
          <w:tcPr>
            <w:tcW w:type="dxa" w:w="3312"/>
            <w:vAlign w:val="center"/>
            <w:shd w:fill="F2F5F8"/>
          </w:tcPr>
          <w:p>
            <w:pPr>
              <w:spacing w:after="20"/>
            </w:pPr>
            <w:r/>
            <w:r>
              <w:rPr>
                <w:rFonts w:ascii="Aptos" w:hAnsi="Aptos"/>
                <w:b w:val="0"/>
                <w:sz w:val="17"/>
              </w:rPr>
              <w:t>Déploiement, surveillance renforcée, vérification des parcours et revue post-lancement.</w:t>
            </w:r>
          </w:p>
        </w:tc>
        <w:tc>
          <w:tcPr>
            <w:tcW w:type="dxa" w:w="3312"/>
            <w:vAlign w:val="center"/>
            <w:shd w:fill="F2F5F8"/>
          </w:tcPr>
          <w:p>
            <w:pPr>
              <w:spacing w:after="20"/>
            </w:pPr>
            <w:r/>
            <w:r>
              <w:rPr>
                <w:rFonts w:ascii="Aptos" w:hAnsi="Aptos"/>
                <w:b w:val="0"/>
                <w:sz w:val="17"/>
              </w:rPr>
              <w:t>Validation opérationnelle et plan de support actifs.</w:t>
            </w:r>
          </w:p>
        </w:tc>
      </w:tr>
    </w:tbl>
    <w:p/>
    <w:p>
      <w:pPr>
        <w:pStyle w:val="Heading1"/>
      </w:pPr>
      <w:r>
        <w:t>11. Tests obligatoires et critères d’acceptation</w:t>
      </w:r>
    </w:p>
    <w:p>
      <w:pPr>
        <w:pStyle w:val="ListBullet"/>
        <w:spacing w:after="40"/>
      </w:pPr>
      <w:r>
        <w:t>Un marché fermé ou une cote périmée ne peut pas être accepté.</w:t>
      </w:r>
    </w:p>
    <w:p>
      <w:pPr>
        <w:pStyle w:val="ListBullet"/>
        <w:spacing w:after="40"/>
      </w:pPr>
      <w:r>
        <w:t>Une répétition de la même demande avec la même clé d’idempotence ne crée pas un deuxième ticket.</w:t>
      </w:r>
    </w:p>
    <w:p>
      <w:pPr>
        <w:pStyle w:val="ListBullet"/>
        <w:spacing w:after="40"/>
      </w:pPr>
      <w:r>
        <w:t>Une erreur du fournisseur ne doit pas transformer un pari refusé en pari accepté.</w:t>
      </w:r>
    </w:p>
    <w:p>
      <w:pPr>
        <w:pStyle w:val="ListBullet"/>
        <w:spacing w:after="40"/>
      </w:pPr>
      <w:r>
        <w:t>Le solde et les gains proviennent du ledger serveur, pas d’une valeur envoyée par le frontend.</w:t>
      </w:r>
    </w:p>
    <w:p>
      <w:pPr>
        <w:pStyle w:val="ListBullet"/>
        <w:spacing w:after="40"/>
      </w:pPr>
      <w:r>
        <w:t>Un même webhook ou un même résultat traité plusieurs fois ne crée aucun double crédit.</w:t>
      </w:r>
    </w:p>
    <w:p>
      <w:pPr>
        <w:pStyle w:val="ListBullet"/>
        <w:spacing w:after="40"/>
      </w:pPr>
      <w:r>
        <w:t>Les permissions sont testées au niveau API, y compris les tentatives d’accès direct par identifiant.</w:t>
      </w:r>
    </w:p>
    <w:p>
      <w:pPr>
        <w:pStyle w:val="ListBullet"/>
        <w:spacing w:after="40"/>
      </w:pPr>
      <w:r>
        <w:t>Les changements de cotes, de résultats, de limites et les corrections sensibles sont traçables.</w:t>
      </w:r>
    </w:p>
    <w:p>
      <w:pPr>
        <w:pStyle w:val="ListBullet"/>
        <w:spacing w:after="40"/>
      </w:pPr>
      <w:r>
        <w:t>Les tests E2E couvrent compte → consultation événement → coupon → ticket simulé → résultat test → règlement simulé.</w:t>
      </w:r>
    </w:p>
    <w:p>
      <w:pPr>
        <w:pStyle w:val="ListBullet"/>
        <w:spacing w:after="40"/>
      </w:pPr>
      <w:r>
        <w:t>La sauvegarde peut être restaurée dans un environnement contrôlé ; la procédure est documentée.</w:t>
      </w:r>
    </w:p>
    <w:p>
      <w:pPr>
        <w:pStyle w:val="Heading1"/>
      </w:pPr>
      <w:r>
        <w:t>12. Livrables attendus</w:t>
      </w:r>
    </w:p>
    <w:p>
      <w:pPr>
        <w:pStyle w:val="ListBullet"/>
        <w:spacing w:after="40"/>
      </w:pPr>
      <w:r>
        <w:t>Dossier d’architecture et diagramme de composants/flux.</w:t>
      </w:r>
    </w:p>
    <w:p>
      <w:pPr>
        <w:pStyle w:val="ListBullet"/>
        <w:spacing w:after="40"/>
      </w:pPr>
      <w:r>
        <w:t>Dictionnaire de données, diagramme ERD et migrations.</w:t>
      </w:r>
    </w:p>
    <w:p>
      <w:pPr>
        <w:pStyle w:val="ListBullet"/>
        <w:spacing w:after="40"/>
      </w:pPr>
      <w:r>
        <w:t>Spécification OpenAPI/Swagger et exemples de requêtes/réponses.</w:t>
      </w:r>
    </w:p>
    <w:p>
      <w:pPr>
        <w:pStyle w:val="ListBullet"/>
        <w:spacing w:after="40"/>
      </w:pPr>
      <w:r>
        <w:t>Code source versionné frontend/backend et configuration non sensible.</w:t>
      </w:r>
    </w:p>
    <w:p>
      <w:pPr>
        <w:pStyle w:val="ListBullet"/>
        <w:spacing w:after="40"/>
      </w:pPr>
      <w:r>
        <w:t>Matrice rôle × action × ressource.</w:t>
      </w:r>
    </w:p>
    <w:p>
      <w:pPr>
        <w:pStyle w:val="ListBullet"/>
        <w:spacing w:after="40"/>
      </w:pPr>
      <w:r>
        <w:t>Rapport de tests unitaires, intégration, E2E et sécurité.</w:t>
      </w:r>
    </w:p>
    <w:p>
      <w:pPr>
        <w:pStyle w:val="ListBullet"/>
        <w:spacing w:after="40"/>
      </w:pPr>
      <w:r>
        <w:t>Guide d’installation, de déploiement, de rollback et d’exploitation.</w:t>
      </w:r>
    </w:p>
    <w:p>
      <w:pPr>
        <w:pStyle w:val="ListBullet"/>
        <w:spacing w:after="40"/>
      </w:pPr>
      <w:r>
        <w:t>Procédure de sauvegarde/restauration, alertes et gestion des incidents.</w:t>
      </w:r>
    </w:p>
    <w:p>
      <w:pPr>
        <w:pStyle w:val="ListBullet"/>
        <w:spacing w:after="40"/>
      </w:pPr>
      <w:r>
        <w:t>Procès-verbal de recette avec les limites connues et les dépendances externes.</w:t>
      </w:r>
    </w:p>
    <w:p>
      <w:pPr>
        <w:pStyle w:val="Heading1"/>
      </w:pPr>
      <w:r>
        <w:t>13. Décisions à faire valider avant le développement complet</w:t>
      </w:r>
    </w:p>
    <w:p>
      <w:pPr>
        <w:pStyle w:val="ListBullet"/>
        <w:spacing w:after="40"/>
      </w:pPr>
      <w:r>
        <w:t>Le fournisseur de données sportives et de cotes, ses droits d’utilisation, ses limites et son environnement sandbox.</w:t>
      </w:r>
    </w:p>
    <w:p>
      <w:pPr>
        <w:pStyle w:val="ListBullet"/>
        <w:spacing w:after="40"/>
      </w:pPr>
      <w:r>
        <w:t>Les sports, compétitions et marchés réellement inclus dans la première version.</w:t>
      </w:r>
    </w:p>
    <w:p>
      <w:pPr>
        <w:pStyle w:val="ListBullet"/>
        <w:spacing w:after="40"/>
      </w:pPr>
      <w:r>
        <w:t>Les types de paris acceptés en V1 : pari simple seulement ou combiné également.</w:t>
      </w:r>
    </w:p>
    <w:p>
      <w:pPr>
        <w:pStyle w:val="ListBullet"/>
        <w:spacing w:after="40"/>
      </w:pPr>
      <w:r>
        <w:t>La politique de changement de cote, d’annulation, de match reporté, d’abandon et de correction de résultat.</w:t>
      </w:r>
    </w:p>
    <w:p>
      <w:pPr>
        <w:pStyle w:val="ListBullet"/>
        <w:spacing w:after="40"/>
      </w:pPr>
      <w:r>
        <w:t>La devise, les règles d’arrondi, les mises minimales/maximales et les plafonds de gain.</w:t>
      </w:r>
    </w:p>
    <w:p>
      <w:pPr>
        <w:pStyle w:val="ListBullet"/>
        <w:spacing w:after="40"/>
      </w:pPr>
      <w:r>
        <w:t>Les rôles administratifs, les approbations à deux personnes et les limites d’action.</w:t>
      </w:r>
    </w:p>
    <w:p>
      <w:pPr>
        <w:pStyle w:val="ListBullet"/>
        <w:spacing w:after="40"/>
      </w:pPr>
      <w:r>
        <w:t>Les fournisseurs de paiement, frais, webhooks et autorisations, si ces intégrations sont prévues.</w:t>
      </w:r>
    </w:p>
    <w:p>
      <w:pPr>
        <w:pStyle w:val="ListBullet"/>
        <w:spacing w:after="40"/>
      </w:pPr>
      <w:r>
        <w:t>Les exigences d’âge, de vérification d’identité, de jeu responsable et de protection des données selon le territoire autorisé.</w:t>
      </w:r>
    </w:p>
    <w:p>
      <w:pPr>
        <w:pStyle w:val="ListBullet"/>
        <w:spacing w:after="40"/>
      </w:pPr>
      <w:r>
        <w:t>L’hébergement, les objectifs de disponibilité, la politique de sauvegarde et la durée de conservation.</w:t>
      </w:r>
    </w:p>
    <w:p>
      <w:pPr>
        <w:pStyle w:val="Heading1"/>
      </w:pPr>
      <w:r>
        <w:t>14. Règle de clôture</w:t>
      </w:r>
    </w:p>
    <w:p>
      <w:r>
        <w:t>Une fonctionnalité n’est pas terminée parce que son interface s’affiche. Elle est terminée lorsque les règles métier sont approuvées, les données persistées sont correctes, les permissions sont appliquées côté serveur, les cas limites sont testés, les opérations sensibles sont auditées et la fonctionnalité est validée en Staging. Toute dépendance légale ou fournisseur non confirmée doit rester explicitement désactivée.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Document de travail technique — Version 1.0 — 13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AZED GROUP  |  REYEL 16 PAYAJ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