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/><w:r><w:rPr><w:color w:val="142A1D"/><w:sz w:val="28"/><w:szCs w:val="28"/><w:b w:val="1"/><w:bCs w:val="1"/></w:rPr><w:t xml:space="preserve">Никс Менеджмент — Консалтинговая компания</w:t></w:r></w:p><w:p><w:pPr/><w:r><w:rPr><w:sz w:val="26"/><w:szCs w:val="26"/><w:b w:val="1"/><w:bCs w:val="1"/></w:rPr><w:t xml:space="preserve">Итоговый отчёт по заявке №16</w:t></w:r></w:p><w:p/><w:p><w:pPr/><w:r><w:rPr/><w:t xml:space="preserve">Дата формирования: 20.05.2026 13:22</w:t></w:r></w:p><w:p><w:pPr/><w:r><w:rPr/><w:t xml:space="preserve">Клиент: Тихонов Павел Леонидович (ООО "Гарант-Строй")</w:t></w:r></w:p><w:p><w:pPr/><w:r><w:rPr/><w:t xml:space="preserve">Услуга: Сопровождение M&A — категория «Юридический консалтинг»</w:t></w:r></w:p><w:p><w:pPr/><w:r><w:rPr/><w:t xml:space="preserve">Консультант: Петрова Мария Дмитриевна</w:t></w:r></w:p><w:p><w:pPr/><w:r><w:rPr/><w:t xml:space="preserve">Статус заявки: На согласовании</w:t></w:r></w:p><w:p><w:pPr/><w:r><w:rPr/><w:t xml:space="preserve">Приоритет: high</w:t></w:r></w:p><w:p><w:pPr/><w:r><w:rPr/><w:t xml:space="preserve">Дедлайн: 30.06.2026</w:t></w:r></w:p><w:p/><w:p><w:pPr><w:pStyle w:val="Heading2"/></w:pPr><w:bookmarkStart w:id="0" w:name="_Toc0"/><w:r><w:t>1. Описание задачи</w:t></w:r><w:bookmarkEnd w:id="0"/></w:p><w:p><w:pPr/><w:r><w:rPr/><w:t xml:space="preserve">Покупка строительной компании-конкурента, due-diligence + сделка.</w:t></w:r></w:p><w:p/><w:p><w:pPr><w:pStyle w:val="Heading2"/></w:pPr><w:bookmarkStart w:id="1" w:name="_Toc1"/><w:r><w:t>2. Содержание отчёта</w:t></w:r><w:bookmarkEnd w:id="1"/></w:p><w:p><w:pPr/><w:r><w:rPr/><w:t xml:space="preserve">Подготовлен предварительный договор по сделке M&A для ООО "Гарант-Строй". Направлен на согласование.</w:t></w:r></w:p><w:p/><w:p><w:pPr><w:pStyle w:val="Heading2"/></w:pPr><w:bookmarkStart w:id="2" w:name="_Toc2"/><w:r><w:t>3. Хронология консультаций</w:t></w:r><w:bookmarkEnd w:id="2"/></w:p><w:p><w:pPr/><w:r><w:rPr/><w:t xml:space="preserve">• 05.05.2026 13:00 (90 мин): Подготовка предварительного договора</w:t></w:r></w:p><w:p><w:pPr/><w:r><w:rPr/><w:t xml:space="preserve">• 15.04.2026 14:00 (90 мин): Промежуточный отчёт по due-diligence</w:t></w:r></w:p><w:p><w:pPr/><w:r><w:rPr/><w:t xml:space="preserve">• 28.03.2026 11:00 (120 мин): Старт сделки, согласование плана due-diligence</w:t></w:r></w:p><w:p/><w:p><w:pPr><w:pStyle w:val="Heading2"/></w:pPr><w:bookmarkStart w:id="3" w:name="_Toc3"/><w:r><w:t>Итоговая стоимость</w:t></w:r><w:bookmarkEnd w:id="3"/></w:p><w:p><w:pPr/><w:r><w:rPr><w:sz w:val="24"/><w:szCs w:val="24"/><w:b w:val="1"/><w:bCs w:val="1"/></w:rPr><w:t xml:space="preserve">Сумма к оплате: 380 000,00 ₽</w:t></w:r></w:p><w:p/><w:p/><w:p><w:pPr/><w:r><w:rPr/><w:t xml:space="preserve">________________________________</w:t></w:r></w:p><w:p><w:pPr/><w:r><w:rPr/><w:t xml:space="preserve">Подпись консультанта</w:t></w:r></w:p><w:sectPr><w:pgSz w:orient="portrait" w:w="11905.511811023622" w:h="16837.79527559055"/><w:pgMar w:top="1133.8582677165352" w:right="850.3937007874015" w:bottom="1133.8582677165352" w:left="1417.3228346456694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DejaVu Sans" w:hAnsi="DejaVu Sans" w:eastAsia="Arial" w:cs="DejaVu Sans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color w:val="142A1D"/>
      <w:sz w:val="32"/>
      <w:szCs w:val="32"/>
      <w:b w:val="1"/>
      <w:bCs w:val="1"/>
    </w:rPr>
  </w:style>
  <w:style w:type="paragraph" w:styleId="Heading2">
    <w:link w:val="Heading2Char"/>
    <w:name w:val="heading 2"/>
    <w:rPr>
      <w:color w:val="142A1D"/>
      <w:sz w:val="26"/>
      <w:szCs w:val="26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2026-05-20T13:22:52+00:00</dcterms:created>
  <dcterms:modified xsi:type="dcterms:W3CDTF">2026-05-20T13:22:52+00:00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