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2.4.87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Колона „Сигнатура“ (попълненото поле или УДК + авторски знак); търсене и по УДК, сигнатура, издателство, ключова дума, поредица и по ISBN без тирета;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неизползваните и изтритите номера са вписани на мястото си и на хартия;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 Утвърждаване само с библиотекар и счетоводител в комисията, името на ръководителя до „УТВЪРДИЛ“; документ при друга библиотека по МЗС не се отчислява.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 Документите, вписани след началото на проверката, и изпратените на друга библиотека по МЗС не стават „липсващ“ — всяка група е на свой ред в протокола.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 Карта на читател, сканирана в полето за връщане, не връща чужда книга; забавата се брои от първия работен ден след падежа, а затворен ден мести падежите напред; квитанция се печата само за получени пари, а на начислението — известие.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отчисляване; при вписване на брой се избира към кой годишен комплект се подвързва (броят от 31 декември, получен през януари, остава в своята година).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входящи и изходящи заявки, свързани с наш документ (не се заема, „зает“ онлайн) или с наш читател (получената книга се дава по заявката, без вписване във фонда); дати по състояния, само позволените стъпки, просрочените — на таблото.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 Часовете се пишат „8“, „7:30“ или „7,5“; всеки ден се отваря за подробно попълване от числото си.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 (и само година), дейност, биографична справка, снимка, връзки към фонда в двете посоки; съименниците се различават по години и дейност.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 Промените от второ работно място с обща база също стигат до сайта; UNIMARC и CSV носят сигнатурата (УДК и авторски знак).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 Поле отгоре/отляво и разстояние по двете посоки поотделно, „започни от позиция N“, голям печат на партиди. Баркодът на етикета за фонда е с модул до 0,5 мм и с празно поле по нормата; на малки етикети отпадат цели редове от заглавната част, а подписите в актовете и регистрите не остават сами на лист.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седем цветови теми, мрежа, служители, резервни копия, помощ и обратна връзка с разработчика. При изчезнала или празна база програмата пита още при старта дали да възстанови копие; паролата на ръчното криптирано копие е поне 10 знака.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сигнатурата по едно правило навсякъде: попълненото поле „Сигнатура“, а ако е празно — УДК и авторски знак, без повторена УДК; дългата УДК се пренася и не излиза от етикета.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Готовите листове (напр. Avery L7160) се настройват с четири числа от опаковката — поле отгоре, поле отляво, разстояние хоризонтално и вертикално, — а „започни от позиция N“ допечатва полуизползван лист. Голям печат върви на партиди от цели листове (1 000 карти: от 4,7 ГБ на 0,7 ГБ памет); баркодът не се свива от дълго име на читалището.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Разпечатките 1:1 и номерирани</w:t>
      </w:r>
      <w:r>
        <w:rPr>
          <w:rFonts w:ascii="Segoe UI" w:hAnsi="Segoe UI"/>
          <w:b w:val="0"/>
          <w:color w:val="1B1813"/>
          <w:sz w:val="22"/>
        </w:rPr>
        <w:t xml:space="preserve"> — всяка разпечатка излиза в истинския си размер, откъдето и да е пусната; многостраничните документи носят „стр. N от M“ и името си на всеки следващ лист; всеки член на комисията подписва на своя линия, с името си.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Карта в полето за книги сменя читателя</w:t>
      </w:r>
      <w:r>
        <w:rPr>
          <w:rFonts w:ascii="Segoe UI" w:hAnsi="Segoe UI"/>
          <w:b w:val="0"/>
          <w:color w:val="1B1813"/>
          <w:sz w:val="22"/>
        </w:rPr>
        <w:t xml:space="preserve"> — сканирана по навик карта на следващия читател вече не заема на предишния книгата със същия номер; „липсващ“ документ на гишето пита „Документът е намерен?“, а „за реставрация“ предупреждава.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Забавата — собствен вид в сметката</w:t>
      </w:r>
      <w:r>
        <w:rPr>
          <w:rFonts w:ascii="Segoe UI" w:hAnsi="Segoe UI"/>
          <w:b w:val="0"/>
          <w:color w:val="1B1813"/>
          <w:sz w:val="22"/>
        </w:rPr>
        <w:t xml:space="preserve"> — начислява я само програмата, ръчното обезщетение за повреда не „изяжда“ платената забава, а авансът се приспада в писмото по чл. 43. Полетата за кратност и наказание приемат десетична запетая („2,5“).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Пререгистрации</w:t>
      </w:r>
      <w:r>
        <w:rPr>
          <w:rFonts w:ascii="Segoe UI" w:hAnsi="Segoe UI"/>
          <w:b w:val="0"/>
          <w:color w:val="1B1813"/>
          <w:sz w:val="22"/>
        </w:rPr>
        <w:t xml:space="preserve"> — филтър „дължима пререгистрация“ в „Читатели“ и бележка на гишето при изтекла регистрация.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„Сочат към този запис“</w:t>
      </w:r>
      <w:r>
        <w:rPr>
          <w:rFonts w:ascii="Segoe UI" w:hAnsi="Segoe UI"/>
          <w:b w:val="0"/>
          <w:color w:val="1B1813"/>
          <w:sz w:val="22"/>
        </w:rPr>
        <w:t xml:space="preserve"> — картоните на персоналия, летописен запис и книга показват кой сочи към тях, включително статиите с книгата за източник.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 Рязко свиване на публикувания каталог (пробна или нова база върху истинския) се спира с въпрос „Запиши въпреки това…“, а недостъпна папка се казва на екрана.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 или число под колона „Цена (лв.)“) се превръща в евро по фиксирания курс 1,95583, като отчетът винаги казва колко реда са приети за евро и колко са превърнати;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„⚡ Предложи“ брои посещенията на гишето</w:t>
      </w:r>
      <w:r>
        <w:rPr>
          <w:rFonts w:ascii="Segoe UI" w:hAnsi="Segoe UI"/>
          <w:b w:val="0"/>
          <w:color w:val="1B1813"/>
          <w:sz w:val="22"/>
        </w:rPr>
        <w:t xml:space="preserve"> — читателите, заели или върнали документ, плюс посещенията по домовете; децата никога не надхвърлят всички. Месецът се печата на два листа.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InvLib-Setup-2.4.87.exe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2.4.87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2.4.87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849836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v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36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2300+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