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0"/>
      </w:pPr>
    </w:p>
    <w:p>
      <w:pPr>
        <w:spacing w:after="60"/>
        <w:jc w:val="center"/>
      </w:pPr>
      <w:r>
        <w:rPr>
          <w:rFonts w:ascii="Segoe UI" w:hAnsi="Segoe UI"/>
          <w:b/>
          <w:i w:val="0"/>
          <w:color w:val="1A1208"/>
          <w:sz w:val="84"/>
        </w:rPr>
        <w:t>INVLIB</w:t>
      </w:r>
    </w:p>
    <w:p>
      <w:pPr>
        <w:spacing w:after="360"/>
        <w:jc w:val="center"/>
      </w:pPr>
      <w:r>
        <w:rPr>
          <w:rFonts w:ascii="Segoe UI" w:hAnsi="Segoe UI"/>
          <w:b w:val="0"/>
          <w:i w:val="0"/>
          <w:color w:val="6E5314"/>
          <w:sz w:val="26"/>
        </w:rPr>
        <w:t>библиотечна система за читалищни, общински и училищни библиотеки</w:t>
      </w:r>
    </w:p>
    <w:p>
      <w:pPr>
        <w:spacing w:after="120"/>
        <w:jc w:val="center"/>
      </w:pPr>
      <w:r>
        <w:rPr>
          <w:rFonts w:ascii="Segoe UI" w:hAnsi="Segoe UI"/>
          <w:b/>
          <w:i w:val="0"/>
          <w:color w:val="1A1208"/>
          <w:sz w:val="36"/>
        </w:rPr>
        <w:t>Представяне на функциите и възможностите</w:t>
      </w:r>
    </w:p>
    <w:p>
      <w:pPr>
        <w:spacing w:after="120"/>
        <w:jc w:val="center"/>
      </w:pPr>
      <w:r>
        <w:rPr>
          <w:rFonts w:ascii="Segoe UI" w:hAnsi="Segoe UI"/>
          <w:b w:val="0"/>
          <w:i w:val="0"/>
          <w:color w:val="5C5344"/>
          <w:sz w:val="21"/>
        </w:rPr>
        <w:t>Работи офлайн, на Windows, без месечен абонамент.</w:t>
      </w:r>
    </w:p>
    <w:p>
      <w:pPr>
        <w:spacing w:after="800"/>
        <w:jc w:val="center"/>
      </w:pPr>
      <w:r>
        <w:rPr>
          <w:rFonts w:ascii="Segoe UI" w:hAnsi="Segoe UI"/>
          <w:b/>
          <w:i w:val="0"/>
          <w:color w:val="96731F"/>
          <w:sz w:val="24"/>
        </w:rPr>
        <w:t>Версия 2.4.57</w:t>
      </w:r>
    </w:p>
    <w:p>
      <w:pPr>
        <w:spacing w:before="360" w:after="160"/>
      </w:pPr>
      <w:r>
        <w:rPr>
          <w:rFonts w:ascii="Segoe UI" w:hAnsi="Segoe UI"/>
          <w:b/>
          <w:i w:val="0"/>
          <w:color w:val="96731F"/>
          <w:sz w:val="30"/>
        </w:rPr>
        <w:t>1. Какво представлява програмата</w:t>
      </w:r>
    </w:p>
    <w:p>
      <w:pPr>
        <w:spacing w:after="160"/>
      </w:pPr>
      <w:r>
        <w:rPr>
          <w:rFonts w:ascii="Segoe UI" w:hAnsi="Segoe UI"/>
          <w:b w:val="0"/>
          <w:i w:val="0"/>
          <w:color w:val="1B1813"/>
          <w:sz w:val="22"/>
        </w:rPr>
        <w:t>„InvLib“ е цялостна библиотечна система за малка читалищна, общинска или училищна библиотека в България. Покрива целия жизнен цикъл на документа — от постъпването и инвентирането, през каталогизацията и заемането, до отчисляването и годишния отчет — по образеца на Наредба № 3 от 18.11.2014 г. за нормите за комплектуване на библиотечните фондове.</w:t>
      </w:r>
    </w:p>
    <w:p>
      <w:pPr>
        <w:spacing w:after="160"/>
      </w:pPr>
      <w:r>
        <w:rPr>
          <w:rFonts w:ascii="Segoe UI" w:hAnsi="Segoe UI"/>
          <w:b w:val="0"/>
          <w:i w:val="0"/>
          <w:color w:val="1B1813"/>
          <w:sz w:val="22"/>
        </w:rPr>
        <w:t>Всички данни се пазят в един файл (SQLite база данни) на компютъра на библиотеката. Програмата не изисква интернет за ежедневната работа, не изпраща данни към чужди сървъри и няма абонамент.</w:t>
      </w:r>
    </w:p>
    <w:p>
      <w:pPr>
        <w:spacing w:after="160"/>
      </w:pPr>
      <w:r>
        <w:rPr>
          <w:rFonts w:ascii="Segoe UI" w:hAnsi="Segoe UI"/>
          <w:b w:val="0"/>
          <w:i w:val="0"/>
          <w:color w:val="1B1813"/>
          <w:sz w:val="22"/>
        </w:rPr>
        <w:t>Програмата е напълно универсална — в кода ѝ не е записана нито една библиотека поименно; името, мястото и всички реквизити се въвеждат веднъж, в „Настройки“, и важат за цялата инсталация. Нова инсталация тръгва с изцяло празна база — само общите номенклатури, еднакви за всяка българска библиотека.</w:t>
      </w:r>
    </w:p>
    <w:p>
      <w:pPr>
        <w:spacing w:before="240" w:after="100"/>
      </w:pPr>
      <w:r>
        <w:rPr>
          <w:rFonts w:ascii="Segoe UI" w:hAnsi="Segoe UI"/>
          <w:b/>
          <w:i w:val="0"/>
          <w:color w:val="6E5314"/>
          <w:sz w:val="24"/>
        </w:rPr>
        <w:t>Накратко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24 раздела в едно приложение</w:t>
      </w:r>
      <w:r>
        <w:rPr>
          <w:rFonts w:ascii="Segoe UI" w:hAnsi="Segoe UI"/>
          <w:b w:val="0"/>
          <w:color w:val="1B1813"/>
          <w:sz w:val="22"/>
        </w:rPr>
        <w:t xml:space="preserve"> — фонд, читатели, заемане, регистри, краезнание, отчети.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Пълно съответствие с Наредба № 3</w:t>
      </w:r>
      <w:r>
        <w:rPr>
          <w:rFonts w:ascii="Segoe UI" w:hAnsi="Segoe UI"/>
          <w:b w:val="0"/>
          <w:color w:val="1B1813"/>
          <w:sz w:val="22"/>
        </w:rPr>
        <w:t xml:space="preserve"> — инвентарна книга, КДБФ, актове за отчисляване, инвентаризация, дневник.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Работа с баркод четец навсякъде</w:t>
      </w:r>
      <w:r>
        <w:rPr>
          <w:rFonts w:ascii="Segoe UI" w:hAnsi="Segoe UI"/>
          <w:b w:val="0"/>
          <w:color w:val="1B1813"/>
          <w:sz w:val="22"/>
        </w:rPr>
        <w:t>, където се сканира — без настройка, всеки USB четец работи веднага, включително защита срещу сгрешена клавиатурна подредба (кирилица вместо латиница и обратно).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Онлайн каталог</w:t>
      </w:r>
      <w:r>
        <w:rPr>
          <w:rFonts w:ascii="Segoe UI" w:hAnsi="Segoe UI"/>
          <w:b w:val="0"/>
          <w:color w:val="1B1813"/>
          <w:sz w:val="22"/>
        </w:rPr>
        <w:t xml:space="preserve"> — фондът се публикува автоматично в интернет и се вижда от читателите, с търсене по думи, споделяеми връзки към отделен запис и подредба.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Печат с преглед на екрана</w:t>
      </w:r>
      <w:r>
        <w:rPr>
          <w:rFonts w:ascii="Segoe UI" w:hAnsi="Segoe UI"/>
          <w:b w:val="0"/>
          <w:color w:val="1B1813"/>
          <w:sz w:val="22"/>
        </w:rPr>
        <w:t xml:space="preserve"> — Windows не визуализира съдържание от приложения като това, затова прегледът е вграден в самата програма, с мащабиране и директен запис в PDF.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Обмен на данни</w:t>
      </w:r>
      <w:r>
        <w:rPr>
          <w:rFonts w:ascii="Segoe UI" w:hAnsi="Segoe UI"/>
          <w:b w:val="0"/>
          <w:color w:val="1B1813"/>
          <w:sz w:val="22"/>
        </w:rPr>
        <w:t xml:space="preserve"> — UNIMARC/MARCXML, Dublin Core, JSON и CSV; внасяне от АБ, iLib и Excel.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Защита на личните данни</w:t>
      </w:r>
      <w:r>
        <w:rPr>
          <w:rFonts w:ascii="Segoe UI" w:hAnsi="Segoe UI"/>
          <w:b w:val="0"/>
          <w:color w:val="1B1813"/>
          <w:sz w:val="22"/>
        </w:rPr>
        <w:t xml:space="preserve"> — ЕГН и № на лична карта с парола, анонимизиране по ОРЗД, одитна следа.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Автоматични резервни копия</w:t>
      </w:r>
      <w:r>
        <w:rPr>
          <w:rFonts w:ascii="Segoe UI" w:hAnsi="Segoe UI"/>
          <w:b w:val="0"/>
          <w:color w:val="1B1813"/>
          <w:sz w:val="22"/>
        </w:rPr>
        <w:t xml:space="preserve"> всеки ден, с възможност за криптиране (AES-256-GCM).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Автоматично обновяване</w:t>
      </w:r>
      <w:r>
        <w:rPr>
          <w:rFonts w:ascii="Segoe UI" w:hAnsi="Segoe UI"/>
          <w:b w:val="0"/>
          <w:color w:val="1B1813"/>
          <w:sz w:val="22"/>
        </w:rPr>
        <w:t xml:space="preserve"> — новите версии се изтеглят и инсталират сами.</w:t>
      </w:r>
    </w:p>
    <w:p>
      <w:pPr>
        <w:spacing w:before="360" w:after="160"/>
      </w:pPr>
      <w:r>
        <w:rPr>
          <w:rFonts w:ascii="Segoe UI" w:hAnsi="Segoe UI"/>
          <w:b/>
          <w:i w:val="0"/>
          <w:color w:val="96731F"/>
          <w:sz w:val="30"/>
        </w:rPr>
        <w:t>2. Разделите на програмата</w:t>
      </w:r>
    </w:p>
    <w:p>
      <w:pPr>
        <w:spacing w:after="160"/>
      </w:pPr>
      <w:r>
        <w:rPr>
          <w:rFonts w:ascii="Segoe UI" w:hAnsi="Segoe UI"/>
          <w:b w:val="0"/>
          <w:i w:val="0"/>
          <w:color w:val="5C5344"/>
          <w:sz w:val="21"/>
        </w:rPr>
        <w:t>Лявото меню е групирано по вида работа. Всеки раздел работи самостоятелно, но данните са свързани: заемането знае за фонда, отчетите — за заеманията, онлайн каталогът — за наличностите.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370"/>
      </w:tblGrid>
      <w:tr>
        <w:tc>
          <w:tcPr>
            <w:tcW w:type="dxa" w:w="2268"/>
            <w:shd w:val="clear" w:color="auto" w:fill="96731F"/>
          </w:tcPr>
          <w:p>
            <w:r>
              <w:rPr>
                <w:rFonts w:ascii="Segoe UI" w:hAnsi="Segoe UI"/>
                <w:b/>
                <w:color w:val="FFFFFF"/>
                <w:sz w:val="21"/>
              </w:rPr>
              <w:t>Раздел</w:t>
            </w:r>
          </w:p>
        </w:tc>
        <w:tc>
          <w:tcPr>
            <w:tcW w:type="dxa" w:w="7370"/>
            <w:shd w:val="clear" w:color="auto" w:fill="96731F"/>
          </w:tcPr>
          <w:p>
            <w:r>
              <w:rPr>
                <w:rFonts w:ascii="Segoe UI" w:hAnsi="Segoe UI"/>
                <w:b/>
                <w:color w:val="FFFFFF"/>
                <w:sz w:val="21"/>
              </w:rPr>
              <w:t>Какво прави</w:t>
            </w:r>
          </w:p>
        </w:tc>
      </w:tr>
      <w:tr>
        <w:tc>
          <w:tcPr>
            <w:tcW w:type="dxa" w:w="2268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Табло</w:t>
            </w:r>
          </w:p>
        </w:tc>
        <w:tc>
          <w:tcPr>
            <w:tcW w:type="dxa" w:w="7370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Обобщение на състоянието: поле за бързо сканиране, показатели, списък „За днес“ с това, което чака работа, годишни показатели, бързи действия.</w:t>
            </w:r>
          </w:p>
        </w:tc>
      </w:tr>
      <w:tr>
        <w:tc>
          <w:tcPr>
            <w:tcW w:type="dxa" w:w="2268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Книги</w:t>
            </w:r>
          </w:p>
        </w:tc>
        <w:tc>
          <w:tcPr>
            <w:tcW w:type="dxa" w:w="7370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Пълна библиографска карта — автор, заглавие, подзаглавие, ISBN, УДК, сигнатура, авторски знак, ключови думи, анотация, корица. Търсене по всяко поле и наличности в реално време. Редакцията на съществуваща книга става от „Инвентарна книга“ — официалния регистър на фонда. Изтриване на документ с история на заемания се отказва по същата причина.</w:t>
            </w:r>
          </w:p>
        </w:tc>
      </w:tr>
      <w:tr>
        <w:tc>
          <w:tcPr>
            <w:tcW w:type="dxa" w:w="2268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Инвентарна книга</w:t>
            </w:r>
          </w:p>
        </w:tc>
        <w:tc>
          <w:tcPr>
            <w:tcW w:type="dxa" w:w="7370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Ledger по чл. 16, ал. 1 (Приложение № 4) — вписване, отметки за проверки, връзка с партида и акт, редакция на записа с изрично потвърждение; обобщение и бързо търсене дори при фонд от хиляди документи.</w:t>
            </w:r>
          </w:p>
        </w:tc>
      </w:tr>
      <w:tr>
        <w:tc>
          <w:tcPr>
            <w:tcW w:type="dxa" w:w="2268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КДБФ</w:t>
            </w:r>
          </w:p>
        </w:tc>
        <w:tc>
          <w:tcPr>
            <w:tcW w:type="dxa" w:w="7370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Книга за движение на библиотечния фонд — части № 1 (постъпили), № 2 (резултати), № 3 (отчислени), по години, със схема „в началото + постъпили − отчислени = в края“.</w:t>
            </w:r>
          </w:p>
        </w:tc>
      </w:tr>
      <w:tr>
        <w:tc>
          <w:tcPr>
            <w:tcW w:type="dxa" w:w="2268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Постъпления</w:t>
            </w:r>
          </w:p>
        </w:tc>
        <w:tc>
          <w:tcPr>
            <w:tcW w:type="dxa" w:w="7370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Партиди по чл. 14 — общ брой, документ на придобиване, инвентиране на екземплярите към партидата.</w:t>
            </w:r>
          </w:p>
        </w:tc>
      </w:tr>
      <w:tr>
        <w:tc>
          <w:tcPr>
            <w:tcW w:type="dxa" w:w="2268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Отчисляване</w:t>
            </w:r>
          </w:p>
        </w:tc>
        <w:tc>
          <w:tcPr>
            <w:tcW w:type="dxa" w:w="7370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Актове по чл. 30 – 39 — сканиране или въвеждане на инвентарни номера, причина, комисия, анулиране на акт.</w:t>
            </w:r>
          </w:p>
        </w:tc>
      </w:tr>
      <w:tr>
        <w:tc>
          <w:tcPr>
            <w:tcW w:type="dxa" w:w="2268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Инвентаризация</w:t>
            </w:r>
          </w:p>
        </w:tc>
        <w:tc>
          <w:tcPr>
            <w:tcW w:type="dxa" w:w="7370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Сесии по чл. 40 – 41: сканиране, допустими загуби, напредък в проценти. При приключване — изричен избор между представителна проверка (10%, несканираното не се пипа) и пълна (несканираното става „липсващ“). Сканиране с телефон вместо RFID.</w:t>
            </w:r>
          </w:p>
        </w:tc>
      </w:tr>
      <w:tr>
        <w:tc>
          <w:tcPr>
            <w:tcW w:type="dxa" w:w="2268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Авторитетни данни</w:t>
            </w:r>
          </w:p>
        </w:tc>
        <w:tc>
          <w:tcPr>
            <w:tcW w:type="dxa" w:w="7370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Единен вид на повтарящите се стойности: откриване и сливане на дубликати — „Вазов, Иван“, „Иван Вазов“ и „И. Вазов“ стават един запис.</w:t>
            </w:r>
          </w:p>
        </w:tc>
      </w:tr>
      <w:tr>
        <w:tc>
          <w:tcPr>
            <w:tcW w:type="dxa" w:w="2268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Читатели</w:t>
            </w:r>
          </w:p>
        </w:tc>
        <w:tc>
          <w:tcPr>
            <w:tcW w:type="dxa" w:w="7370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Пълна анкета по чл. 42, ал. 3 — ЕГН, лична карта, адреси, категория, съгласие по ОРЗД; читателски карти с баркод, печатани по един или наведнъж. Изтриване на читател с история на заемания се отказва — защита срещу заличаване на данни, нужни за годишната статистика.</w:t>
            </w:r>
          </w:p>
        </w:tc>
      </w:tr>
      <w:tr>
        <w:tc>
          <w:tcPr>
            <w:tcW w:type="dxa" w:w="2268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Заемане и връщане</w:t>
            </w:r>
          </w:p>
        </w:tc>
        <w:tc>
          <w:tcPr>
            <w:tcW w:type="dxa" w:w="7370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Изцяло чрез сканиране: карта на читателя, после документите. Срокове по категория читател, автоматично изчислен падеж и дни на просрочие само по работните дни. Един инвентарен номер отговаря на един екземпляр — заглавие с няколко екземпляра пуска толкова едновременни заемания, колкото са отделните записи.</w:t>
            </w:r>
          </w:p>
        </w:tc>
      </w:tr>
      <w:tr>
        <w:tc>
          <w:tcPr>
            <w:tcW w:type="dxa" w:w="2268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Просрочени</w:t>
            </w:r>
          </w:p>
        </w:tc>
        <w:tc>
          <w:tcPr>
            <w:tcW w:type="dxa" w:w="7370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Списък на просрочените с изчислено обезщетение по чл. 43 и готови текстове за напомняне по имейл и SMS.</w:t>
            </w:r>
          </w:p>
        </w:tc>
      </w:tr>
      <w:tr>
        <w:tc>
          <w:tcPr>
            <w:tcW w:type="dxa" w:w="2268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Предложения за покупка</w:t>
            </w:r>
          </w:p>
        </w:tc>
        <w:tc>
          <w:tcPr>
            <w:tcW w:type="dxa" w:w="7370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Читателите предлагат заглавия — от заявката до включването в партида.</w:t>
            </w:r>
          </w:p>
        </w:tc>
      </w:tr>
      <w:tr>
        <w:tc>
          <w:tcPr>
            <w:tcW w:type="dxa" w:w="2268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Периодика</w:t>
            </w:r>
          </w:p>
        </w:tc>
        <w:tc>
          <w:tcPr>
            <w:tcW w:type="dxa" w:w="7370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Картотека на изданията и кардекс на постъпилите броеве, с предвиждане на следващия очакван брой по периодичността.</w:t>
            </w:r>
          </w:p>
        </w:tc>
      </w:tr>
      <w:tr>
        <w:tc>
          <w:tcPr>
            <w:tcW w:type="dxa" w:w="2268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МЗС</w:t>
            </w:r>
          </w:p>
        </w:tc>
        <w:tc>
          <w:tcPr>
            <w:tcW w:type="dxa" w:w="7370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Междубиблиотечно заемане — регистър на входящите и изходящите заявки.</w:t>
            </w:r>
          </w:p>
        </w:tc>
      </w:tr>
      <w:tr>
        <w:tc>
          <w:tcPr>
            <w:tcW w:type="dxa" w:w="2268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Дневник</w:t>
            </w:r>
          </w:p>
        </w:tc>
        <w:tc>
          <w:tcPr>
            <w:tcW w:type="dxa" w:w="7370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Месечен статистически дневник — Раздел А (читатели и посещения) и Раздел Б (заети материали), с автоматични месечни и годишни тотали.</w:t>
            </w:r>
          </w:p>
        </w:tc>
      </w:tr>
      <w:tr>
        <w:tc>
          <w:tcPr>
            <w:tcW w:type="dxa" w:w="2268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Аналитично описание</w:t>
            </w:r>
          </w:p>
        </w:tc>
        <w:tc>
          <w:tcPr>
            <w:tcW w:type="dxa" w:w="7370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Статии от вестници и списания и части от книги — това, което не се вижда в обикновения каталог.</w:t>
            </w:r>
          </w:p>
        </w:tc>
      </w:tr>
      <w:tr>
        <w:tc>
          <w:tcPr>
            <w:tcW w:type="dxa" w:w="2268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Персоналии</w:t>
            </w:r>
          </w:p>
        </w:tc>
        <w:tc>
          <w:tcPr>
            <w:tcW w:type="dxa" w:w="7370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Картотека на видни местни жители и дейци — дати, дейност, биографична справка, снимка, връзки към фонда.</w:t>
            </w:r>
          </w:p>
        </w:tc>
      </w:tr>
      <w:tr>
        <w:tc>
          <w:tcPr>
            <w:tcW w:type="dxa" w:w="2268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Летопис</w:t>
            </w:r>
          </w:p>
        </w:tc>
        <w:tc>
          <w:tcPr>
            <w:tcW w:type="dxa" w:w="7370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Хронология на читалищната дейност по години, със снимки и връзки към документи и статии; печат на целия летопис или на избрана година.</w:t>
            </w:r>
          </w:p>
        </w:tc>
      </w:tr>
      <w:tr>
        <w:tc>
          <w:tcPr>
            <w:tcW w:type="dxa" w:w="2268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Справки и статистика</w:t>
            </w:r>
          </w:p>
        </w:tc>
        <w:tc>
          <w:tcPr>
            <w:tcW w:type="dxa" w:w="7370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Годишни показатели, разбивки по фонд, език, отдел и категория, дял на върнатите в срок, класация на най-търсените заглавия.</w:t>
            </w:r>
          </w:p>
        </w:tc>
      </w:tr>
      <w:tr>
        <w:tc>
          <w:tcPr>
            <w:tcW w:type="dxa" w:w="2268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Готови справки</w:t>
            </w:r>
          </w:p>
        </w:tc>
        <w:tc>
          <w:tcPr>
            <w:tcW w:type="dxa" w:w="7370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Предварително подготвени отчети за регионалната библиотека и Министерството на културата.</w:t>
            </w:r>
          </w:p>
        </w:tc>
      </w:tr>
      <w:tr>
        <w:tc>
          <w:tcPr>
            <w:tcW w:type="dxa" w:w="2268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Онлайн каталог</w:t>
            </w:r>
          </w:p>
        </w:tc>
        <w:tc>
          <w:tcPr>
            <w:tcW w:type="dxa" w:w="7370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Автоматично публикуване на фонда в интернет с търсене по думи и открояване на съвпаденията, споделяеми връзки към отделен запис, подредба, витрини, ръчен експорт и библиотечни формати за обмен.</w:t>
            </w:r>
          </w:p>
        </w:tc>
      </w:tr>
      <w:tr>
        <w:tc>
          <w:tcPr>
            <w:tcW w:type="dxa" w:w="2268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Баркод етикети</w:t>
            </w:r>
          </w:p>
        </w:tc>
        <w:tc>
          <w:tcPr>
            <w:tcW w:type="dxa" w:w="7370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Печат на етикети Code 39 — за фонда (с тристепенна заглавна част при попълнена организация), за гръбчето (сигнатура) и читателски карти 90 × 60 мм.</w:t>
            </w:r>
          </w:p>
        </w:tc>
      </w:tr>
      <w:tr>
        <w:tc>
          <w:tcPr>
            <w:tcW w:type="dxa" w:w="2268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Одитна следа</w:t>
            </w:r>
          </w:p>
        </w:tc>
        <w:tc>
          <w:tcPr>
            <w:tcW w:type="dxa" w:w="7370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Автоматичен запис кой служител какво е извършил, с експорт в CSV.</w:t>
            </w:r>
          </w:p>
        </w:tc>
      </w:tr>
      <w:tr>
        <w:tc>
          <w:tcPr>
            <w:tcW w:type="dxa" w:w="2268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Настройки</w:t>
            </w:r>
          </w:p>
        </w:tc>
        <w:tc>
          <w:tcPr>
            <w:tcW w:type="dxa" w:w="7370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Данни за библиотеката, параметри на обслужването, комисия, категории, ограничения, шест цветови теми, мрежа, служители, резервни копия, помощ и обратна връзка с разработчика.</w:t>
            </w:r>
          </w:p>
        </w:tc>
      </w:tr>
    </w:tbl>
    <w:p>
      <w:pPr>
        <w:spacing w:before="360" w:after="160"/>
      </w:pPr>
      <w:r>
        <w:rPr>
          <w:rFonts w:ascii="Segoe UI" w:hAnsi="Segoe UI"/>
          <w:b/>
          <w:i w:val="0"/>
          <w:color w:val="96731F"/>
          <w:sz w:val="30"/>
        </w:rPr>
        <w:t>3. Интерфейс, печат и обратна връзка</w:t>
      </w:r>
    </w:p>
    <w:p>
      <w:pPr>
        <w:spacing w:after="160"/>
      </w:pPr>
      <w:r>
        <w:rPr>
          <w:rFonts w:ascii="Segoe UI" w:hAnsi="Segoe UI"/>
          <w:b w:val="0"/>
          <w:i w:val="0"/>
          <w:color w:val="5C5344"/>
          <w:sz w:val="21"/>
        </w:rPr>
        <w:t>Постепенно допълвано след версия 1.69.0 — интерфейсът показва по-ясно какво се случва и какво ще излезе на хартия, без да пречи на бързата работа с баркод четец.</w:t>
      </w:r>
    </w:p>
    <w:p>
      <w:pPr>
        <w:spacing w:before="240" w:after="100"/>
      </w:pPr>
      <w:r>
        <w:rPr>
          <w:rFonts w:ascii="Segoe UI" w:hAnsi="Segoe UI"/>
          <w:b/>
          <w:i w:val="0"/>
          <w:color w:val="6E5314"/>
          <w:sz w:val="24"/>
        </w:rPr>
        <w:t>Преглед преди печат, PDF и мащабиране</w:t>
      </w:r>
    </w:p>
    <w:p>
      <w:pPr>
        <w:spacing w:after="160"/>
      </w:pPr>
      <w:r>
        <w:rPr>
          <w:rFonts w:ascii="Segoe UI" w:hAnsi="Segoe UI"/>
          <w:b w:val="0"/>
          <w:i w:val="0"/>
          <w:color w:val="1B1813"/>
          <w:sz w:val="22"/>
        </w:rPr>
        <w:t>Системният прозорец за печат на Windows по принцип не визуализира съдържание от приложения като това — затова всеки бутон „Печат“ първо показва документа на екрана, с точния размер и полета на страницата, преди да тръгне към принтера. Прегледът е почти на цял екран, листът се побира автоматично по ширината, а бутони „−“ / „%“ / „+“ мащабират изгледа.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„Запази PDF…“</w:t>
      </w:r>
      <w:r>
        <w:rPr>
          <w:rFonts w:ascii="Segoe UI" w:hAnsi="Segoe UI"/>
          <w:b w:val="0"/>
          <w:color w:val="1B1813"/>
          <w:sz w:val="22"/>
        </w:rPr>
        <w:t xml:space="preserve"> — записва документа директно като PDF файл (през същия печатен механизъм — размери, полета и баркоди едно към едно) и го отваря веднага в програмата за PDF, където визуализацията е пълна.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„Печат…“</w:t>
      </w:r>
      <w:r>
        <w:rPr>
          <w:rFonts w:ascii="Segoe UI" w:hAnsi="Segoe UI"/>
          <w:b w:val="0"/>
          <w:color w:val="1B1813"/>
          <w:sz w:val="22"/>
        </w:rPr>
        <w:t xml:space="preserve"> стартира системния диалог, след като библиотекарят вече е видял точно какво ще излезе.</w:t>
      </w:r>
    </w:p>
    <w:p>
      <w:pPr>
        <w:spacing w:before="240" w:after="100"/>
      </w:pPr>
      <w:r>
        <w:rPr>
          <w:rFonts w:ascii="Segoe UI" w:hAnsi="Segoe UI"/>
          <w:b/>
          <w:i w:val="0"/>
          <w:color w:val="6E5314"/>
          <w:sz w:val="24"/>
        </w:rPr>
        <w:t>Четимост и достъпност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По-контрастни цветове</w:t>
      </w:r>
      <w:r>
        <w:rPr>
          <w:rFonts w:ascii="Segoe UI" w:hAnsi="Segoe UI"/>
          <w:b w:val="0"/>
          <w:color w:val="1B1813"/>
          <w:sz w:val="22"/>
        </w:rPr>
        <w:t xml:space="preserve"> на текста във всичките шест теми, приведени към препоръките за четимост (WCAG AA).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По-забележими съобщения</w:t>
      </w:r>
      <w:r>
        <w:rPr>
          <w:rFonts w:ascii="Segoe UI" w:hAnsi="Segoe UI"/>
          <w:b w:val="0"/>
          <w:color w:val="1B1813"/>
          <w:sz w:val="22"/>
        </w:rPr>
        <w:t xml:space="preserve"> — грешките излизат горе в центъра на екрана (там е погледът при попълване на форма) и стоят 10 секунди; успехите — долу вдясно, за 3.5 секунди. Посочване с мишката спира времето, за да не изчезне съобщение, докато се чете.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Нови икони в менюто</w:t>
      </w:r>
      <w:r>
        <w:rPr>
          <w:rFonts w:ascii="Segoe UI" w:hAnsi="Segoe UI"/>
          <w:b w:val="0"/>
          <w:color w:val="1B1813"/>
          <w:sz w:val="22"/>
        </w:rPr>
        <w:t xml:space="preserve"> — контурни рисунки вместо емоджита; оцветяват се от избраната тема и изглеждат еднакво на всяка версия на Windows.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Открояване на записания ред</w:t>
      </w:r>
      <w:r>
        <w:rPr>
          <w:rFonts w:ascii="Segoe UI" w:hAnsi="Segoe UI"/>
          <w:b w:val="0"/>
          <w:color w:val="1B1813"/>
          <w:sz w:val="22"/>
        </w:rPr>
        <w:t xml:space="preserve"> — след запис на книга или читател редът в таблицата светва за кратко, за да се вижда не само че е записано, а и къде.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Звуков сигнал при сканиране</w:t>
      </w:r>
      <w:r>
        <w:rPr>
          <w:rFonts w:ascii="Segoe UI" w:hAnsi="Segoe UI"/>
          <w:b w:val="0"/>
          <w:color w:val="1B1813"/>
          <w:sz w:val="22"/>
        </w:rPr>
        <w:t xml:space="preserve"> в „Заемане и връщане“ — кратък тон при успешно действие, различен при отказ или просрочие; полезен точно защото при работа с баркод четец очите остават върху книгата, не върху екрана. Изключва се от „Настройки“ → „Външен вид“.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Плавни преходи</w:t>
      </w:r>
      <w:r>
        <w:rPr>
          <w:rFonts w:ascii="Segoe UI" w:hAnsi="Segoe UI"/>
          <w:b w:val="0"/>
          <w:color w:val="1B1813"/>
          <w:sz w:val="22"/>
        </w:rPr>
        <w:t xml:space="preserve"> при смяна на раздел и при затваряне на прозорците; изключват се автоматично, ако Windows е настроен за намалено движение (достъпност).</w:t>
      </w:r>
    </w:p>
    <w:p>
      <w:pPr>
        <w:spacing w:before="240" w:after="100"/>
      </w:pPr>
      <w:r>
        <w:rPr>
          <w:rFonts w:ascii="Segoe UI" w:hAnsi="Segoe UI"/>
          <w:b/>
          <w:i w:val="0"/>
          <w:color w:val="6E5314"/>
          <w:sz w:val="24"/>
        </w:rPr>
        <w:t>Помощ и обратна връзка</w:t>
      </w:r>
    </w:p>
    <w:p>
      <w:pPr>
        <w:spacing w:after="160"/>
      </w:pPr>
      <w:r>
        <w:rPr>
          <w:rFonts w:ascii="Segoe UI" w:hAnsi="Segoe UI"/>
          <w:b w:val="0"/>
          <w:i w:val="0"/>
          <w:color w:val="1B1813"/>
          <w:sz w:val="22"/>
        </w:rPr>
        <w:t>В „Настройки“ стои карта с имейл за връзка с разработчика и линк към уебсайта на програмата. Бутонът „Съобщи за грешка…“ отваря пощенския клиент с вече попълнена тема и текст — версия на програмата, име на библиотеката, операционна система — остава само да се опише какво се е случило.</w:t>
      </w:r>
    </w:p>
    <w:p>
      <w:pPr>
        <w:spacing w:before="360" w:after="160"/>
      </w:pPr>
      <w:r>
        <w:rPr>
          <w:rFonts w:ascii="Segoe UI" w:hAnsi="Segoe UI"/>
          <w:b/>
          <w:i w:val="0"/>
          <w:color w:val="96731F"/>
          <w:sz w:val="30"/>
        </w:rPr>
        <w:t>4. Фонд и каталогизация</w:t>
      </w:r>
    </w:p>
    <w:p>
      <w:pPr>
        <w:spacing w:before="240" w:after="100"/>
      </w:pPr>
      <w:r>
        <w:rPr>
          <w:rFonts w:ascii="Segoe UI" w:hAnsi="Segoe UI"/>
          <w:b/>
          <w:i w:val="0"/>
          <w:color w:val="6E5314"/>
          <w:sz w:val="24"/>
        </w:rPr>
        <w:t>Търсене по ISBN — картата се попълва сама</w:t>
      </w:r>
    </w:p>
    <w:p>
      <w:pPr>
        <w:spacing w:after="160"/>
      </w:pPr>
      <w:r>
        <w:rPr>
          <w:rFonts w:ascii="Segoe UI" w:hAnsi="Segoe UI"/>
          <w:b w:val="0"/>
          <w:i w:val="0"/>
          <w:color w:val="1B1813"/>
          <w:sz w:val="22"/>
        </w:rPr>
        <w:t>При въвеждане на нов документ ISBN се сканира или изписва и програмата издирва описанието в Google Books, Open Library и в каталозите на библиотеки по протокол SRU. Попълват се само празните полета — вече въведеното от каталогизатора не се презаписва.</w:t>
      </w:r>
    </w:p>
    <w:p>
      <w:pPr>
        <w:spacing w:before="240" w:after="100"/>
      </w:pPr>
      <w:r>
        <w:rPr>
          <w:rFonts w:ascii="Segoe UI" w:hAnsi="Segoe UI"/>
          <w:b/>
          <w:i w:val="0"/>
          <w:color w:val="6E5314"/>
          <w:sz w:val="24"/>
        </w:rPr>
        <w:t>Контрол на авторитетните данни</w:t>
      </w:r>
    </w:p>
    <w:p>
      <w:pPr>
        <w:spacing w:after="160"/>
      </w:pPr>
      <w:r>
        <w:rPr>
          <w:rFonts w:ascii="Segoe UI" w:hAnsi="Segoe UI"/>
          <w:b w:val="0"/>
          <w:i w:val="0"/>
          <w:color w:val="1B1813"/>
          <w:sz w:val="22"/>
        </w:rPr>
        <w:t>Стойностите, вече въведени във фонда, се предлагат при писане, а разделът „Авторитетни данни“ открива близките варианти и ги слива в един запис. Така каталогът не се раздвоява и справките по автор или издателство остават верни.</w:t>
      </w:r>
    </w:p>
    <w:p>
      <w:pPr>
        <w:spacing w:before="240" w:after="100"/>
      </w:pPr>
      <w:r>
        <w:rPr>
          <w:rFonts w:ascii="Segoe UI" w:hAnsi="Segoe UI"/>
          <w:b/>
          <w:i w:val="0"/>
          <w:color w:val="6E5314"/>
          <w:sz w:val="24"/>
        </w:rPr>
        <w:t>УДК, сигнатура, баркод и етикети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УДК се избира от вградената таблица</w:t>
      </w:r>
      <w:r>
        <w:rPr>
          <w:rFonts w:ascii="Segoe UI" w:hAnsi="Segoe UI"/>
          <w:b w:val="0"/>
          <w:color w:val="1B1813"/>
          <w:sz w:val="22"/>
        </w:rPr>
        <w:t>, а не се преписва по памет; авторският знак и сигнатурата се съставят по правилата и се подреждат правилно при сортиране.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Един инвентарен номер отговаря на един екземпляр</w:t>
      </w:r>
      <w:r>
        <w:rPr>
          <w:rFonts w:ascii="Segoe UI" w:hAnsi="Segoe UI"/>
          <w:b w:val="0"/>
          <w:color w:val="1B1813"/>
          <w:sz w:val="22"/>
        </w:rPr>
        <w:t xml:space="preserve"> (от версия 2.4.21) — втори екземпляр от едно заглавие се завежда с бутона „+ Още екземпляр“ от картона на първия: нов запис със следващия свободен инвентарен номер и вече попълнени описание, цена и партида. „Настройки“ → „Проверка на данните“ намира и поправя стари записи с повече от една бройка (внесена по-стара база), без да променя броя документи или стойността на фонда.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Всеки USB баркод четец работи веднага</w:t>
      </w:r>
      <w:r>
        <w:rPr>
          <w:rFonts w:ascii="Segoe UI" w:hAnsi="Segoe UI"/>
          <w:b w:val="0"/>
          <w:color w:val="1B1813"/>
          <w:sz w:val="22"/>
        </w:rPr>
        <w:t xml:space="preserve"> — той се държи като клавиатура, не се инсталира нищо; програмата разпознава и поправя сама сгрешена клавиатурна подредба (кирилица/латиница) при сканиране.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Печат на етикети Code 39 за фонда</w:t>
      </w:r>
      <w:r>
        <w:rPr>
          <w:rFonts w:ascii="Segoe UI" w:hAnsi="Segoe UI"/>
          <w:b w:val="0"/>
          <w:color w:val="1B1813"/>
          <w:sz w:val="22"/>
        </w:rPr>
        <w:t>: при попълнена „Организация“ в настройките заглавната част е на три реда (свързващ текст, организация, населено място), иначе — един ред с наименованието на библиотеката.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Отделни, по-малки етикети за гръбчето на книгата</w:t>
      </w:r>
      <w:r>
        <w:rPr>
          <w:rFonts w:ascii="Segoe UI" w:hAnsi="Segoe UI"/>
          <w:b w:val="0"/>
          <w:color w:val="1B1813"/>
          <w:sz w:val="22"/>
        </w:rPr>
        <w:t xml:space="preserve"> — само УДК и авторски знак.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Читателски карти 90 × 60 мм</w:t>
      </w:r>
      <w:r>
        <w:rPr>
          <w:rFonts w:ascii="Segoe UI" w:hAnsi="Segoe UI"/>
          <w:b w:val="0"/>
          <w:color w:val="1B1813"/>
          <w:sz w:val="22"/>
        </w:rPr>
        <w:t xml:space="preserve"> с логото на организацията, печатани поединично от картона на читателя или наведнъж за целия списък.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Формат A4 или ролков лейбъл принтер</w:t>
      </w:r>
      <w:r>
        <w:rPr>
          <w:rFonts w:ascii="Segoe UI" w:hAnsi="Segoe UI"/>
          <w:b w:val="0"/>
          <w:color w:val="1B1813"/>
          <w:sz w:val="22"/>
        </w:rPr>
        <w:t>, с преглед на оформлението преди печат и директен запис в PDF. Броят колони на A4 лист се намалява сам, ако избраният размер етикет не се събира по ширина — вместо мълчаливо да реже последната колона. При печат на повече от 500 етикета наведнъж програмата пита с точния брой листове, преди да започне.</w:t>
      </w:r>
    </w:p>
    <w:p>
      <w:pPr>
        <w:spacing w:before="360" w:after="160"/>
      </w:pPr>
      <w:r>
        <w:rPr>
          <w:rFonts w:ascii="Segoe UI" w:hAnsi="Segoe UI"/>
          <w:b/>
          <w:i w:val="0"/>
          <w:color w:val="96731F"/>
          <w:sz w:val="30"/>
        </w:rPr>
        <w:t>5. Читатели и обслужване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Заемане и връщане със сканиране</w:t>
      </w:r>
      <w:r>
        <w:rPr>
          <w:rFonts w:ascii="Segoe UI" w:hAnsi="Segoe UI"/>
          <w:b w:val="0"/>
          <w:color w:val="1B1813"/>
          <w:sz w:val="22"/>
        </w:rPr>
        <w:t xml:space="preserve"> — карта, после документи; падежът и дните на просрочие се изчисляват по правилата за категорията читател, само по работните дни на библиотеката (независимо дали връщането е през бутон или през сканиране на баркод). Един инвентарен номер отговаря на един екземпляр (от версия 2.4.21): заглавие с няколко екземпляра е толкова отделни записа, а заемането отказва чак когато всички са заети.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Правила по категория читател</w:t>
      </w:r>
      <w:r>
        <w:rPr>
          <w:rFonts w:ascii="Segoe UI" w:hAnsi="Segoe UI"/>
          <w:b w:val="0"/>
          <w:color w:val="1B1813"/>
          <w:sz w:val="22"/>
        </w:rPr>
        <w:t xml:space="preserve"> — срок, брой едновременно заети документи, обезщетение при просрочие.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Резервации на заети документи</w:t>
      </w:r>
      <w:r>
        <w:rPr>
          <w:rFonts w:ascii="Segoe UI" w:hAnsi="Segoe UI"/>
          <w:b w:val="0"/>
          <w:color w:val="1B1813"/>
          <w:sz w:val="22"/>
        </w:rPr>
        <w:t>, с опашка и уведомяване при връщане. Резервацията важи срещу конкретния инвентарен номер, не срещу цялото заглавие — при няколко екземпляра друг читател може да вземе свободен, докато чака резервацията, а притежателят ѝ продължава срока си без пречка. Непотърсена „заделена“ резервация се отказва автоматично след 3 дни, за да не блокира опашката завинаги; отчисляването на документ отказва автоматично и чакащите му резервации.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Обслужване по домовете</w:t>
      </w:r>
      <w:r>
        <w:rPr>
          <w:rFonts w:ascii="Segoe UI" w:hAnsi="Segoe UI"/>
          <w:b w:val="0"/>
          <w:color w:val="1B1813"/>
          <w:sz w:val="22"/>
        </w:rPr>
        <w:t xml:space="preserve"> — график на посещенията и дневник на извършените.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Просрочени</w:t>
      </w:r>
      <w:r>
        <w:rPr>
          <w:rFonts w:ascii="Segoe UI" w:hAnsi="Segoe UI"/>
          <w:b w:val="0"/>
          <w:color w:val="1B1813"/>
          <w:sz w:val="22"/>
        </w:rPr>
        <w:t xml:space="preserve"> — изчислено обезщетение по чл. 43 и готови текстове за напомняне (имейл и SMS), които се редактират преди изпращане.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Списък „За днес“ на таблото</w:t>
      </w:r>
      <w:r>
        <w:rPr>
          <w:rFonts w:ascii="Segoe UI" w:hAnsi="Segoe UI"/>
          <w:b w:val="0"/>
          <w:color w:val="1B1813"/>
          <w:sz w:val="22"/>
        </w:rPr>
        <w:t xml:space="preserve"> — показва читателите, на които все още НЕ е изпратено напомняне за текущото просрочие, а не просто общия брой просрочени заемания. Тоест какво остава да се свърши, не колко голям е проблемът.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Читателски картон</w:t>
      </w:r>
      <w:r>
        <w:rPr>
          <w:rFonts w:ascii="Segoe UI" w:hAnsi="Segoe UI"/>
          <w:b w:val="0"/>
          <w:color w:val="1B1813"/>
          <w:sz w:val="22"/>
        </w:rPr>
        <w:t xml:space="preserve"> — история на заеманията, дължими суми и плащания с квитанция.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Изтриване с история на заемания се отказва</w:t>
      </w:r>
      <w:r>
        <w:rPr>
          <w:rFonts w:ascii="Segoe UI" w:hAnsi="Segoe UI"/>
          <w:b w:val="0"/>
          <w:color w:val="1B1813"/>
          <w:sz w:val="22"/>
        </w:rPr>
        <w:t xml:space="preserve"> — както за читатели, така и за документи; програмата сочи правилния път (акт за отчисляване за документ, състояние „прекратен“ и анонимизиране за читател), вместо мълчаливо да заличи данни, нужни за годишната статистика. Ако записът наистина е сгрешен (напр. дублиран по невнимание), второ натискане на „Изтрий“ до 2 минути изтрива записа необратимо заедно с цялата му история, с изрично предупреждение на екрана. При активно (невърнато) заемане отказът остава безусловен — там няма втори опит.</w:t>
      </w:r>
    </w:p>
    <w:p>
      <w:pPr>
        <w:spacing w:before="240" w:after="100"/>
      </w:pPr>
      <w:r>
        <w:rPr>
          <w:rFonts w:ascii="Segoe UI" w:hAnsi="Segoe UI"/>
          <w:b/>
          <w:i w:val="0"/>
          <w:color w:val="6E5314"/>
          <w:sz w:val="24"/>
        </w:rPr>
        <w:t>Календар на библиотеката и официалните празници</w:t>
      </w:r>
    </w:p>
    <w:p>
      <w:pPr>
        <w:spacing w:after="160"/>
      </w:pPr>
      <w:r>
        <w:rPr>
          <w:rFonts w:ascii="Segoe UI" w:hAnsi="Segoe UI"/>
          <w:b w:val="0"/>
          <w:i w:val="0"/>
          <w:color w:val="1B1813"/>
          <w:sz w:val="22"/>
        </w:rPr>
        <w:t>Официалните и националните празници влизат в календара автоматично — за текущата и за следващата година, още при стартиране на програмата. Следващата година се попълва предварително нарочно: заемане през декември получава падеж през януари и той трябва да прескочи 1 януари още от днес.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Списъкът следва чл. 154 от Кодекса на труда</w:t>
      </w:r>
      <w:r>
        <w:rPr>
          <w:rFonts w:ascii="Segoe UI" w:hAnsi="Segoe UI"/>
          <w:b w:val="0"/>
          <w:color w:val="1B1813"/>
          <w:sz w:val="22"/>
        </w:rPr>
        <w:t xml:space="preserve"> — десетте фиксирани празника и четирите Великденски дни.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Великден се изчислява</w:t>
      </w:r>
      <w:r>
        <w:rPr>
          <w:rFonts w:ascii="Segoe UI" w:hAnsi="Segoe UI"/>
          <w:b w:val="0"/>
          <w:color w:val="1B1813"/>
          <w:sz w:val="22"/>
        </w:rPr>
        <w:t xml:space="preserve"> по православния календар за всяка година, а не се въвежда на ръка.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Падне ли празник в събота или неделя</w:t>
      </w:r>
      <w:r>
        <w:rPr>
          <w:rFonts w:ascii="Segoe UI" w:hAnsi="Segoe UI"/>
          <w:b w:val="0"/>
          <w:color w:val="1B1813"/>
          <w:sz w:val="22"/>
        </w:rPr>
        <w:t>, първият следващ работен ден също е неприсъствен (ал. 2), включително двойния декемврийски случай.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Всяка година се попълва точно веднъж</w:t>
      </w:r>
      <w:r>
        <w:rPr>
          <w:rFonts w:ascii="Segoe UI" w:hAnsi="Segoe UI"/>
          <w:b w:val="0"/>
          <w:color w:val="1B1813"/>
          <w:sz w:val="22"/>
        </w:rPr>
        <w:t>: ако библиотеката работи на празник и денят бъде изтрит, решението не се презаписва при следващо стартиране.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Падежите, просрочията и обезщетенията</w:t>
      </w:r>
      <w:r>
        <w:rPr>
          <w:rFonts w:ascii="Segoe UI" w:hAnsi="Segoe UI"/>
          <w:b w:val="0"/>
          <w:color w:val="1B1813"/>
          <w:sz w:val="22"/>
        </w:rPr>
        <w:t xml:space="preserve"> се смятат само по работните дни на библиотеката.</w:t>
      </w:r>
    </w:p>
    <w:p>
      <w:pPr>
        <w:spacing w:before="360" w:after="160"/>
      </w:pPr>
      <w:r>
        <w:rPr>
          <w:rFonts w:ascii="Segoe UI" w:hAnsi="Segoe UI"/>
          <w:b/>
          <w:i w:val="0"/>
          <w:color w:val="96731F"/>
          <w:sz w:val="30"/>
        </w:rPr>
        <w:t>6. Краезнание</w:t>
      </w:r>
    </w:p>
    <w:p>
      <w:pPr>
        <w:spacing w:after="160"/>
      </w:pPr>
      <w:r>
        <w:rPr>
          <w:rFonts w:ascii="Segoe UI" w:hAnsi="Segoe UI"/>
          <w:b w:val="0"/>
          <w:i w:val="0"/>
          <w:color w:val="1B1813"/>
          <w:sz w:val="22"/>
        </w:rPr>
        <w:t>Трите раздела за краезнание са предвидени за това, което читалищната библиотека знае, а големите каталози не съдържат.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Аналитично описание</w:t>
      </w:r>
      <w:r>
        <w:rPr>
          <w:rFonts w:ascii="Segoe UI" w:hAnsi="Segoe UI"/>
          <w:b w:val="0"/>
          <w:color w:val="1B1813"/>
          <w:sz w:val="22"/>
        </w:rPr>
        <w:t xml:space="preserve"> — статии от вестници и списания и части от книги; източникът сочи към запис във фонда или се описва свободно.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Персоналии</w:t>
      </w:r>
      <w:r>
        <w:rPr>
          <w:rFonts w:ascii="Segoe UI" w:hAnsi="Segoe UI"/>
          <w:b w:val="0"/>
          <w:color w:val="1B1813"/>
          <w:sz w:val="22"/>
        </w:rPr>
        <w:t xml:space="preserve"> — видни местни жители и дейци: дати, дейност, биографична справка, снимка, връзки към материалите за тях.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Летопис</w:t>
      </w:r>
      <w:r>
        <w:rPr>
          <w:rFonts w:ascii="Segoe UI" w:hAnsi="Segoe UI"/>
          <w:b w:val="0"/>
          <w:color w:val="1B1813"/>
          <w:sz w:val="22"/>
        </w:rPr>
        <w:t xml:space="preserve"> — хронология на читалищната дейност по години, със снимки и връзки към документи и статии.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Връзки между краеведските записи и фонда</w:t>
      </w:r>
      <w:r>
        <w:rPr>
          <w:rFonts w:ascii="Segoe UI" w:hAnsi="Segoe UI"/>
          <w:b w:val="0"/>
          <w:color w:val="1B1813"/>
          <w:sz w:val="22"/>
        </w:rPr>
        <w:t>, така че едно име води до всичко, свързано с него.</w:t>
      </w:r>
    </w:p>
    <w:p>
      <w:pPr>
        <w:spacing w:before="360" w:after="160"/>
      </w:pPr>
      <w:r>
        <w:rPr>
          <w:rFonts w:ascii="Segoe UI" w:hAnsi="Segoe UI"/>
          <w:b/>
          <w:i w:val="0"/>
          <w:color w:val="96731F"/>
          <w:sz w:val="30"/>
        </w:rPr>
        <w:t>7. Онлайн каталог и обмен на данни</w:t>
      </w:r>
    </w:p>
    <w:p>
      <w:pPr>
        <w:spacing w:before="240" w:after="100"/>
      </w:pPr>
      <w:r>
        <w:rPr>
          <w:rFonts w:ascii="Segoe UI" w:hAnsi="Segoe UI"/>
          <w:b/>
          <w:i w:val="0"/>
          <w:color w:val="6E5314"/>
          <w:sz w:val="24"/>
        </w:rPr>
        <w:t>Публичен каталог в интернет</w:t>
      </w:r>
    </w:p>
    <w:p>
      <w:pPr>
        <w:spacing w:after="160"/>
      </w:pPr>
      <w:r>
        <w:rPr>
          <w:rFonts w:ascii="Segoe UI" w:hAnsi="Segoe UI"/>
          <w:b w:val="0"/>
          <w:i w:val="0"/>
          <w:color w:val="1B1813"/>
          <w:sz w:val="22"/>
        </w:rPr>
        <w:t>Фондът се публикува автоматично като страница в интернет, която читателите отварят от телефон или компютър. Програмата записва файла с данните при всяка промяна във фонда и сама го качва в хранилището (на 5 минути или веднага с бутон). Отчислените и служебните документи не се публикуват, а лични данни не излизат навън.</w:t>
      </w:r>
    </w:p>
    <w:p>
      <w:pPr>
        <w:spacing w:before="240" w:after="100"/>
      </w:pPr>
      <w:r>
        <w:rPr>
          <w:rFonts w:ascii="Segoe UI" w:hAnsi="Segoe UI"/>
          <w:b/>
          <w:i w:val="0"/>
          <w:color w:val="6E5314"/>
          <w:sz w:val="24"/>
        </w:rPr>
        <w:t>По-добро търсене и споделяне в каталога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Търсене по думи</w:t>
      </w:r>
      <w:r>
        <w:rPr>
          <w:rFonts w:ascii="Segoe UI" w:hAnsi="Segoe UI"/>
          <w:b w:val="0"/>
          <w:color w:val="1B1813"/>
          <w:sz w:val="22"/>
        </w:rPr>
        <w:t xml:space="preserve"> — всяка дума се търси поотделно, редът е без значение („здравков петър“ намира „Петър Здравков“); претърсват се и анотацията, и населеното място, а съвпаденията се открояват в текста.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Пълен запис при клик</w:t>
      </w:r>
      <w:r>
        <w:rPr>
          <w:rFonts w:ascii="Segoe UI" w:hAnsi="Segoe UI"/>
          <w:b w:val="0"/>
          <w:color w:val="1B1813"/>
          <w:sz w:val="22"/>
        </w:rPr>
        <w:t xml:space="preserve"> — пълна анотация, език, вид, ключови думи, дата на постъпване, плюс бутон „Копирай връзка към записа“.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Споделяеми връзки</w:t>
      </w:r>
      <w:r>
        <w:rPr>
          <w:rFonts w:ascii="Segoe UI" w:hAnsi="Segoe UI"/>
          <w:b w:val="0"/>
          <w:color w:val="1B1813"/>
          <w:sz w:val="22"/>
        </w:rPr>
        <w:t xml:space="preserve"> — търсене, филтри, подредба и витрина се пазят в адреса на страницата; връзка към конкретен запис отваря каталога точно на него.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Подредба</w:t>
      </w:r>
      <w:r>
        <w:rPr>
          <w:rFonts w:ascii="Segoe UI" w:hAnsi="Segoe UI"/>
          <w:b w:val="0"/>
          <w:color w:val="1B1813"/>
          <w:sz w:val="22"/>
        </w:rPr>
        <w:t xml:space="preserve"> по автор, заглавие, година или инвентарен номер, бутон „Изчисти“, автоматично дозареждане при превъртане, плаващ бутон „към началото“.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Достъпност</w:t>
      </w:r>
      <w:r>
        <w:rPr>
          <w:rFonts w:ascii="Segoe UI" w:hAnsi="Segoe UI"/>
          <w:b w:val="0"/>
          <w:color w:val="1B1813"/>
          <w:sz w:val="22"/>
        </w:rPr>
        <w:t xml:space="preserve"> — броят резултати се обявява от екранни четци, всичко се управлява и с клавиатура.</w:t>
      </w:r>
    </w:p>
    <w:p>
      <w:pPr>
        <w:spacing w:before="240" w:after="100"/>
      </w:pPr>
      <w:r>
        <w:rPr>
          <w:rFonts w:ascii="Segoe UI" w:hAnsi="Segoe UI"/>
          <w:b/>
          <w:i w:val="0"/>
          <w:color w:val="6E5314"/>
          <w:sz w:val="24"/>
        </w:rPr>
        <w:t>Витрини в каталога</w:t>
      </w:r>
    </w:p>
    <w:p>
      <w:pPr>
        <w:spacing w:after="160"/>
      </w:pPr>
      <w:r>
        <w:rPr>
          <w:rFonts w:ascii="Segoe UI" w:hAnsi="Segoe UI"/>
          <w:b w:val="0"/>
          <w:i w:val="0"/>
          <w:color w:val="1B1813"/>
          <w:sz w:val="22"/>
        </w:rPr>
        <w:t>Ръчно подбрани тематични списъци — „Лято 2026“, „Краезнание“, „Нови български романи“ — които страницата показва като бутони над резултатите. Книгите се добавят по инвентарен номер, чрез сканиране или наведнъж от отметките в „Книги“. „Нови постъпления“ се показва автоматично по датата на вписване.</w:t>
      </w:r>
    </w:p>
    <w:p>
      <w:pPr>
        <w:spacing w:before="240" w:after="100"/>
      </w:pPr>
      <w:r>
        <w:rPr>
          <w:rFonts w:ascii="Segoe UI" w:hAnsi="Segoe UI"/>
          <w:b/>
          <w:i w:val="0"/>
          <w:color w:val="6E5314"/>
          <w:sz w:val="24"/>
        </w:rPr>
        <w:t>Библиотечни формати за обмен</w:t>
      </w:r>
    </w:p>
    <w:p>
      <w:pPr>
        <w:spacing w:after="160"/>
      </w:pPr>
      <w:r>
        <w:rPr>
          <w:rFonts w:ascii="Segoe UI" w:hAnsi="Segoe UI"/>
          <w:b w:val="0"/>
          <w:i w:val="0"/>
          <w:color w:val="1B1813"/>
          <w:sz w:val="22"/>
        </w:rPr>
        <w:t>Смисълът е данните да не са заключени в тази програма: при преминаване към COBISS или при включване в сводния каталог се подава един файл, вместо записите да се преписват на ръка.</w:t>
      </w:r>
    </w:p>
    <w:p>
      <w:pPr>
        <w:spacing w:after="160"/>
      </w:pPr>
      <w:r>
        <w:rPr>
          <w:rFonts w:ascii="Segoe UI" w:hAnsi="Segoe UI"/>
          <w:b w:val="0"/>
          <w:i w:val="0"/>
          <w:color w:val="1B1813"/>
          <w:sz w:val="22"/>
        </w:rPr>
        <w:t>Работата на четирите формата е проверена с автоматизиран тест, който изнася фонд с нарочно неудобни данни (кирилица, специални знаци, празни полета) и прочита файловете обратно, за да се увери, че всяка стойност се връща непокътната.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370"/>
      </w:tblGrid>
      <w:tr>
        <w:tc>
          <w:tcPr>
            <w:tcW w:type="dxa" w:w="2268"/>
            <w:shd w:val="clear" w:color="auto" w:fill="96731F"/>
          </w:tcPr>
          <w:p>
            <w:r>
              <w:rPr>
                <w:rFonts w:ascii="Segoe UI" w:hAnsi="Segoe UI"/>
                <w:b/>
                <w:color w:val="FFFFFF"/>
                <w:sz w:val="21"/>
              </w:rPr>
              <w:t>Формат</w:t>
            </w:r>
          </w:p>
        </w:tc>
        <w:tc>
          <w:tcPr>
            <w:tcW w:type="dxa" w:w="7370"/>
            <w:shd w:val="clear" w:color="auto" w:fill="96731F"/>
          </w:tcPr>
          <w:p>
            <w:r>
              <w:rPr>
                <w:rFonts w:ascii="Segoe UI" w:hAnsi="Segoe UI"/>
                <w:b/>
                <w:color w:val="FFFFFF"/>
                <w:sz w:val="21"/>
              </w:rPr>
              <w:t>Съдържание</w:t>
            </w:r>
          </w:p>
        </w:tc>
      </w:tr>
      <w:tr>
        <w:tc>
          <w:tcPr>
            <w:tcW w:type="dxa" w:w="2268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UNIMARC / MARCXML</w:t>
            </w:r>
          </w:p>
        </w:tc>
        <w:tc>
          <w:tcPr>
            <w:tcW w:type="dxa" w:w="7370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Пълно библиографско описание — полета 200 (заглавие и автор), 210 (издателски данни), 215 (обем), 606 (предметни рубрики), 675 (УДК), 700 (автор с разделени фамилия и име) и 995 (екземпляр: инвентарен номер, отдел, сигнатура).</w:t>
            </w:r>
          </w:p>
        </w:tc>
      </w:tr>
      <w:tr>
        <w:tc>
          <w:tcPr>
            <w:tcW w:type="dxa" w:w="2268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Dublin Core</w:t>
            </w:r>
          </w:p>
        </w:tc>
        <w:tc>
          <w:tcPr>
            <w:tcW w:type="dxa" w:w="7370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По-простият формат, който приемат хранилищата на цифрово съдържание и агрегаторите.</w:t>
            </w:r>
          </w:p>
        </w:tc>
      </w:tr>
      <w:tr>
        <w:tc>
          <w:tcPr>
            <w:tcW w:type="dxa" w:w="2268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JSON</w:t>
            </w:r>
          </w:p>
        </w:tc>
        <w:tc>
          <w:tcPr>
            <w:tcW w:type="dxa" w:w="7370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Данните на онлайн каталога — същият файл, който захранва публичната страница.</w:t>
            </w:r>
          </w:p>
        </w:tc>
      </w:tr>
      <w:tr>
        <w:tc>
          <w:tcPr>
            <w:tcW w:type="dxa" w:w="2268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CSV</w:t>
            </w:r>
          </w:p>
        </w:tc>
        <w:tc>
          <w:tcPr>
            <w:tcW w:type="dxa" w:w="7370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Целият фонд в таблица за Excel или LibreOffice, с 17 колони, включително цена в лева и в евро.</w:t>
            </w:r>
          </w:p>
        </w:tc>
      </w:tr>
    </w:tbl>
    <w:p>
      <w:pPr>
        <w:spacing w:before="240" w:after="100"/>
      </w:pPr>
      <w:r>
        <w:rPr>
          <w:rFonts w:ascii="Segoe UI" w:hAnsi="Segoe UI"/>
          <w:b/>
          <w:i w:val="0"/>
          <w:color w:val="6E5314"/>
          <w:sz w:val="24"/>
        </w:rPr>
        <w:t>Внасяне на данни от друга система</w:t>
      </w:r>
    </w:p>
    <w:p>
      <w:pPr>
        <w:spacing w:after="160"/>
      </w:pPr>
      <w:r>
        <w:rPr>
          <w:rFonts w:ascii="Segoe UI" w:hAnsi="Segoe UI"/>
          <w:b w:val="0"/>
          <w:i w:val="0"/>
          <w:color w:val="1B1813"/>
          <w:sz w:val="22"/>
        </w:rPr>
        <w:t>Библиотека с изоставена стара база минава на програмата, без да преписва фонда на ръка. Приемат се CSV, TXT, TSV и XLSX от АБ, iLib или обикновена таблица на Excel — избрани с бутон или провлачени направо върху прозореца. Разделителят и кодирането (Windows-1251, UTF-8, UTF-16) се разпознават сами, колоните се съпоставят по заглавията си, показват се първите редове за проверка, а грешка в един ред не проваля целия внос.</w:t>
      </w:r>
    </w:p>
    <w:p>
      <w:pPr>
        <w:spacing w:before="360" w:after="160"/>
      </w:pPr>
      <w:r>
        <w:rPr>
          <w:rFonts w:ascii="Segoe UI" w:hAnsi="Segoe UI"/>
          <w:b/>
          <w:i w:val="0"/>
          <w:color w:val="96731F"/>
          <w:sz w:val="30"/>
        </w:rPr>
        <w:t>8. Отчети и статистика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Дневник на библиотеката</w:t>
      </w:r>
      <w:r>
        <w:rPr>
          <w:rFonts w:ascii="Segoe UI" w:hAnsi="Segoe UI"/>
          <w:b w:val="0"/>
          <w:color w:val="1B1813"/>
          <w:sz w:val="22"/>
        </w:rPr>
        <w:t xml:space="preserve"> — Раздел А (читатели и посещения) и Раздел Б (заети материали) по образеца e_Dnevnik_AB_CH2, с автоматични месечни и годишни тотали.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Годишни показатели</w:t>
      </w:r>
      <w:r>
        <w:rPr>
          <w:rFonts w:ascii="Segoe UI" w:hAnsi="Segoe UI"/>
          <w:b w:val="0"/>
          <w:color w:val="1B1813"/>
          <w:sz w:val="22"/>
        </w:rPr>
        <w:t xml:space="preserve"> — движение на фонда, читатели, посещения, заемания, дял на върнатите в срок (по годината на връщане, не на заемане — отчет за приключила година не се променя със задна дата).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Библиотечният фонд се брои по екземпляри</w:t>
      </w:r>
      <w:r>
        <w:rPr>
          <w:rFonts w:ascii="Segoe UI" w:hAnsi="Segoe UI"/>
          <w:b w:val="0"/>
          <w:color w:val="1B1813"/>
          <w:sz w:val="22"/>
        </w:rPr>
        <w:t>, не по заглавия — съгласно Наредба № 3, навсякъде в справките, Таблото и КДБФ. Бройките в актовете за отчисляване се снимат при съставяне, за да не се променя отпечатан отчет за минала година.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Разбивки по вид документ, език, отдел и категория читатели</w:t>
      </w:r>
      <w:r>
        <w:rPr>
          <w:rFonts w:ascii="Segoe UI" w:hAnsi="Segoe UI"/>
          <w:b w:val="0"/>
          <w:color w:val="1B1813"/>
          <w:sz w:val="22"/>
        </w:rPr>
        <w:t>, с нагледни ленти.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Класация на най-търсените заглавия и автори</w:t>
      </w:r>
      <w:r>
        <w:rPr>
          <w:rFonts w:ascii="Segoe UI" w:hAnsi="Segoe UI"/>
          <w:b w:val="0"/>
          <w:color w:val="1B1813"/>
          <w:sz w:val="22"/>
        </w:rPr>
        <w:t>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Готови справки за регионалната библиотека и Министерството на културата</w:t>
      </w:r>
      <w:r>
        <w:rPr>
          <w:rFonts w:ascii="Segoe UI" w:hAnsi="Segoe UI"/>
          <w:b w:val="0"/>
          <w:color w:val="1B1813"/>
          <w:sz w:val="22"/>
        </w:rPr>
        <w:t xml:space="preserve"> — попълват се сами от данните.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Печат и PDF на всяка справка</w:t>
      </w:r>
      <w:r>
        <w:rPr>
          <w:rFonts w:ascii="Segoe UI" w:hAnsi="Segoe UI"/>
          <w:b w:val="0"/>
          <w:color w:val="1B1813"/>
          <w:sz w:val="22"/>
        </w:rPr>
        <w:t>, с говорещо име на файла.</w:t>
      </w:r>
    </w:p>
    <w:p>
      <w:pPr>
        <w:spacing w:before="360" w:after="160"/>
      </w:pPr>
      <w:r>
        <w:rPr>
          <w:rFonts w:ascii="Segoe UI" w:hAnsi="Segoe UI"/>
          <w:b/>
          <w:i w:val="0"/>
          <w:color w:val="96731F"/>
          <w:sz w:val="30"/>
        </w:rPr>
        <w:t>9. Лични данни, сигурност и резервни копия</w:t>
      </w:r>
    </w:p>
    <w:p>
      <w:pPr>
        <w:spacing w:before="240" w:after="100"/>
      </w:pPr>
      <w:r>
        <w:rPr>
          <w:rFonts w:ascii="Segoe UI" w:hAnsi="Segoe UI"/>
          <w:b/>
          <w:i w:val="0"/>
          <w:color w:val="6E5314"/>
          <w:sz w:val="24"/>
        </w:rPr>
        <w:t>Защита на личните данни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ЕГН и номер на лична карта</w:t>
      </w:r>
      <w:r>
        <w:rPr>
          <w:rFonts w:ascii="Segoe UI" w:hAnsi="Segoe UI"/>
          <w:b w:val="0"/>
          <w:color w:val="1B1813"/>
          <w:sz w:val="22"/>
        </w:rPr>
        <w:t xml:space="preserve"> се пазят криптирани и се отключват с обща парола, валидна докато програмата работи.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Анонимизиране на старите заемания по ОРЗД</w:t>
      </w:r>
      <w:r>
        <w:rPr>
          <w:rFonts w:ascii="Segoe UI" w:hAnsi="Segoe UI"/>
          <w:b w:val="0"/>
          <w:color w:val="1B1813"/>
          <w:sz w:val="22"/>
        </w:rPr>
        <w:t xml:space="preserve"> — историята за статистика остава, връзката с личността отпада.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Съгласие по ОРЗД в читателската анкета</w:t>
      </w:r>
      <w:r>
        <w:rPr>
          <w:rFonts w:ascii="Segoe UI" w:hAnsi="Segoe UI"/>
          <w:b w:val="0"/>
          <w:color w:val="1B1813"/>
          <w:sz w:val="22"/>
        </w:rPr>
        <w:t>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Одитна следа</w:t>
      </w:r>
      <w:r>
        <w:rPr>
          <w:rFonts w:ascii="Segoe UI" w:hAnsi="Segoe UI"/>
          <w:b w:val="0"/>
          <w:color w:val="1B1813"/>
          <w:sz w:val="22"/>
        </w:rPr>
        <w:t>: кой служител какво е извършил, с експорт в CSV.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Отделни служители с достъп до програмата</w:t>
      </w:r>
      <w:r>
        <w:rPr>
          <w:rFonts w:ascii="Segoe UI" w:hAnsi="Segoe UI"/>
          <w:b w:val="0"/>
          <w:color w:val="1B1813"/>
          <w:sz w:val="22"/>
        </w:rPr>
        <w:t>.</w:t>
      </w:r>
    </w:p>
    <w:p>
      <w:pPr>
        <w:spacing w:before="240" w:after="100"/>
      </w:pPr>
      <w:r>
        <w:rPr>
          <w:rFonts w:ascii="Segoe UI" w:hAnsi="Segoe UI"/>
          <w:b/>
          <w:i w:val="0"/>
          <w:color w:val="6E5314"/>
          <w:sz w:val="24"/>
        </w:rPr>
        <w:t>Резервни копия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Автоматично, веднъж на ден</w:t>
      </w:r>
      <w:r>
        <w:rPr>
          <w:rFonts w:ascii="Segoe UI" w:hAnsi="Segoe UI"/>
          <w:b w:val="0"/>
          <w:color w:val="1B1813"/>
          <w:sz w:val="22"/>
        </w:rPr>
        <w:t xml:space="preserve"> — при първото стартиране за деня; пазят се последните 30 дни.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Ръчно, по всяко време</w:t>
      </w:r>
      <w:r>
        <w:rPr>
          <w:rFonts w:ascii="Segoe UI" w:hAnsi="Segoe UI"/>
          <w:b w:val="0"/>
          <w:color w:val="1B1813"/>
          <w:sz w:val="22"/>
        </w:rPr>
        <w:t xml:space="preserve"> — на USB или мрежов диск, с възможност за парола.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Криптиране AES-256-GCM</w:t>
      </w:r>
      <w:r>
        <w:rPr>
          <w:rFonts w:ascii="Segoe UI" w:hAnsi="Segoe UI"/>
          <w:b w:val="0"/>
          <w:color w:val="1B1813"/>
          <w:sz w:val="22"/>
        </w:rPr>
        <w:t xml:space="preserve"> с ключ от паролата (scrypt) — подправен или повреден файл се засича при възстановяване.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Автоматичното дневно копие се криптира само</w:t>
      </w:r>
      <w:r>
        <w:rPr>
          <w:rFonts w:ascii="Segoe UI" w:hAnsi="Segoe UI"/>
          <w:b w:val="0"/>
          <w:color w:val="1B1813"/>
          <w:sz w:val="22"/>
        </w:rPr>
        <w:t>, ако защитата на личните данни е включена и отключена — със същата парола. Статусът се вижда направо в „Настройки“ → „Резервно копие“ (криптирано / защитата е заключена / изобщо не е включена), с бутон към нужното действие.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Възстановяване от списъка или от файл</w:t>
      </w:r>
      <w:r>
        <w:rPr>
          <w:rFonts w:ascii="Segoe UI" w:hAnsi="Segoe UI"/>
          <w:b w:val="0"/>
          <w:color w:val="1B1813"/>
          <w:sz w:val="22"/>
        </w:rPr>
        <w:t>, като текущата база първо се запазва отделно.</w:t>
      </w:r>
    </w:p>
    <w:p>
      <w:pPr>
        <w:spacing w:before="240" w:after="100"/>
      </w:pPr>
      <w:r>
        <w:rPr>
          <w:rFonts w:ascii="Segoe UI" w:hAnsi="Segoe UI"/>
          <w:b/>
          <w:i w:val="0"/>
          <w:color w:val="6E5314"/>
          <w:sz w:val="24"/>
        </w:rPr>
        <w:t>Работа в локална мрежа</w:t>
      </w:r>
    </w:p>
    <w:p>
      <w:pPr>
        <w:spacing w:after="160"/>
      </w:pPr>
      <w:r>
        <w:rPr>
          <w:rFonts w:ascii="Segoe UI" w:hAnsi="Segoe UI"/>
          <w:b w:val="0"/>
          <w:i w:val="0"/>
          <w:color w:val="1B1813"/>
          <w:sz w:val="22"/>
        </w:rPr>
        <w:t>Базата данни може да се премести на споделена мрежова папка, за да работят няколко компютъра с един и същ фонд. Програмата пренася базата, запомня новото местоположение и се рестартира сама. Препоръчва се да се избягва едновременен запис от два компютъра в един и същ момент. Ако все пак се случи — напр. двама читатели искат последния свободен екземпляр в един момент — печели точно единият, а другият вижда ясно съобщение защо е отказан, не техническа грешка.</w:t>
      </w:r>
    </w:p>
    <w:p>
      <w:pPr>
        <w:spacing w:before="360" w:after="160"/>
      </w:pPr>
      <w:r>
        <w:rPr>
          <w:rFonts w:ascii="Segoe UI" w:hAnsi="Segoe UI"/>
          <w:b/>
          <w:i w:val="0"/>
          <w:color w:val="96731F"/>
          <w:sz w:val="30"/>
        </w:rPr>
        <w:t>10. Инсталиране и обновяване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Инсталационен файл</w:t>
      </w:r>
      <w:r>
        <w:rPr>
          <w:rFonts w:ascii="Segoe UI" w:hAnsi="Segoe UI"/>
          <w:b w:val="0"/>
          <w:color w:val="1B1813"/>
          <w:sz w:val="22"/>
        </w:rPr>
        <w:t xml:space="preserve"> InvLib-Setup-2.4.57.exe за Windows, изтеглян от страницата с изданията в GitHub.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Новите версии се проверяват, изтеглят и инсталират автоматично</w:t>
      </w:r>
      <w:r>
        <w:rPr>
          <w:rFonts w:ascii="Segoe UI" w:hAnsi="Segoe UI"/>
          <w:b w:val="0"/>
          <w:color w:val="1B1813"/>
          <w:sz w:val="22"/>
        </w:rPr>
        <w:t xml:space="preserve"> — библиотекарят само потвърждава рестарта.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Данните, настройките и резервните копия се запазват</w:t>
      </w:r>
      <w:r>
        <w:rPr>
          <w:rFonts w:ascii="Segoe UI" w:hAnsi="Segoe UI"/>
          <w:b w:val="0"/>
          <w:color w:val="1B1813"/>
          <w:sz w:val="22"/>
        </w:rPr>
        <w:t xml:space="preserve"> при обновяване.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Изпълнимият файл, инсталаторът и преките пътища вече също се казват „InvLib“</w:t>
      </w:r>
      <w:r>
        <w:rPr>
          <w:rFonts w:ascii="Segoe UI" w:hAnsi="Segoe UI"/>
          <w:b w:val="0"/>
          <w:color w:val="1B1813"/>
          <w:sz w:val="22"/>
        </w:rPr>
        <w:t xml:space="preserve"> (по-рано „Инвентар“) — обновяването преименува съществуващите икони на място, не създава втора.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Програмата работи без интернет</w:t>
      </w:r>
      <w:r>
        <w:rPr>
          <w:rFonts w:ascii="Segoe UI" w:hAnsi="Segoe UI"/>
          <w:b w:val="0"/>
          <w:color w:val="1B1813"/>
          <w:sz w:val="22"/>
        </w:rPr>
        <w:t>; връзка е нужна само за обновяване, търсене по ISBN и публикуване на онлайн каталога.</w:t>
      </w:r>
    </w:p>
    <w:p>
      <w:pPr>
        <w:pStyle w:val="ListParagraph"/>
        <w:spacing w:after="80"/>
        <w:numPr>
          <w:ilvl w:val="0"/>
          <w:numId w:val="1"/>
        </w:numPr>
      </w:pPr>
      <w:r>
        <w:rPr>
          <w:rFonts w:ascii="Segoe UI" w:hAnsi="Segoe UI"/>
          <w:b/>
          <w:color w:val="1B1813"/>
          <w:sz w:val="22"/>
        </w:rPr>
        <w:t>Помощ при проблем</w:t>
      </w:r>
      <w:r>
        <w:rPr>
          <w:rFonts w:ascii="Segoe UI" w:hAnsi="Segoe UI"/>
          <w:b w:val="0"/>
          <w:color w:val="1B1813"/>
          <w:sz w:val="22"/>
        </w:rPr>
        <w:t xml:space="preserve"> — карта в „Настройки“ с имейл на разработчика, бутон, който отваря писмо вече попълнено с версия, библиотека и операционна система, и линк към уебсайта на програмата.</w:t>
      </w:r>
    </w:p>
    <w:p>
      <w:pPr>
        <w:spacing w:before="360" w:after="160"/>
      </w:pPr>
      <w:r>
        <w:rPr>
          <w:rFonts w:ascii="Segoe UI" w:hAnsi="Segoe UI"/>
          <w:b/>
          <w:i w:val="0"/>
          <w:color w:val="96731F"/>
          <w:sz w:val="30"/>
        </w:rPr>
        <w:t>11. Технически данни</w:t>
      </w:r>
    </w:p>
    <w:p>
      <w:pPr>
        <w:spacing w:after="160"/>
      </w:pPr>
      <w:r>
        <w:rPr>
          <w:rFonts w:ascii="Segoe UI" w:hAnsi="Segoe UI"/>
          <w:b w:val="0"/>
          <w:i w:val="0"/>
          <w:color w:val="1B1813"/>
          <w:sz w:val="22"/>
        </w:rPr>
        <w:t>Документът е съставен за версия 2.4.57 на програмата. При излизане на нова версия списъкът се допълва — историята на промените се води в CHANGELOG.md в хранилището на проекта.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96731F"/>
          </w:tcPr>
          <w:p>
            <w:r>
              <w:rPr>
                <w:rFonts w:ascii="Segoe UI" w:hAnsi="Segoe UI"/>
                <w:b/>
                <w:color w:val="FFFFFF"/>
                <w:sz w:val="21"/>
              </w:rPr>
              <w:t>Показател</w:t>
            </w:r>
          </w:p>
        </w:tc>
        <w:tc>
          <w:tcPr>
            <w:tcW w:type="dxa" w:w="6236"/>
            <w:shd w:val="clear" w:color="auto" w:fill="96731F"/>
          </w:tcPr>
          <w:p>
            <w:r>
              <w:rPr>
                <w:rFonts w:ascii="Segoe UI" w:hAnsi="Segoe UI"/>
                <w:b/>
                <w:color w:val="FFFFFF"/>
                <w:sz w:val="21"/>
              </w:rPr>
              <w:t>Стойност</w:t>
            </w:r>
          </w:p>
        </w:tc>
      </w:tr>
      <w:tr>
        <w:tc>
          <w:tcPr>
            <w:tcW w:type="dxa" w:w="3402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Версия на програмата</w:t>
            </w:r>
          </w:p>
        </w:tc>
        <w:tc>
          <w:tcPr>
            <w:tcW w:type="dxa" w:w="6236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2.4.57</w:t>
            </w:r>
          </w:p>
        </w:tc>
      </w:tr>
      <w:tr>
        <w:tc>
          <w:tcPr>
            <w:tcW w:type="dxa" w:w="3402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Платформа</w:t>
            </w:r>
          </w:p>
        </w:tc>
        <w:tc>
          <w:tcPr>
            <w:tcW w:type="dxa" w:w="6236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Windows (Electron + SQLite)</w:t>
            </w:r>
          </w:p>
        </w:tc>
      </w:tr>
      <w:tr>
        <w:tc>
          <w:tcPr>
            <w:tcW w:type="dxa" w:w="3402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База данни</w:t>
            </w:r>
          </w:p>
        </w:tc>
        <w:tc>
          <w:tcPr>
            <w:tcW w:type="dxa" w:w="6236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Един файл library.db; всяко действие се записва веднага</w:t>
            </w:r>
          </w:p>
        </w:tc>
      </w:tr>
      <w:tr>
        <w:tc>
          <w:tcPr>
            <w:tcW w:type="dxa" w:w="3402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Цветови теми</w:t>
            </w:r>
          </w:p>
        </w:tc>
        <w:tc>
          <w:tcPr>
            <w:tcW w:type="dxa" w:w="6236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Седем: InvLib (по подразбиране за нова инсталация), Бронз, Наситено синьо, Горско зелено, Бордо, Графит, Кафяво-теракота</w:t>
            </w:r>
          </w:p>
        </w:tc>
      </w:tr>
      <w:tr>
        <w:tc>
          <w:tcPr>
            <w:tcW w:type="dxa" w:w="3402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Разработчик</w:t>
            </w:r>
          </w:p>
        </w:tc>
        <w:tc>
          <w:tcPr>
            <w:tcW w:type="dxa" w:w="6236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Пламен Христов — Пачо</w:t>
            </w:r>
          </w:p>
        </w:tc>
      </w:tr>
      <w:tr>
        <w:tc>
          <w:tcPr>
            <w:tcW w:type="dxa" w:w="3402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Лиценз</w:t>
            </w:r>
          </w:p>
        </w:tc>
        <w:tc>
          <w:tcPr>
            <w:tcW w:type="dxa" w:w="6236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GNU General Public License (свободен софтуер с отворен код)</w:t>
            </w:r>
          </w:p>
        </w:tc>
      </w:tr>
      <w:tr>
        <w:tc>
          <w:tcPr>
            <w:tcW w:type="dxa" w:w="3402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Нормативна основа</w:t>
            </w:r>
          </w:p>
        </w:tc>
        <w:tc>
          <w:tcPr>
            <w:tcW w:type="dxa" w:w="6236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Наредба № 3 от 18.11.2014 г.; Кодекс на труда, чл. 154 (официални празници)</w:t>
            </w:r>
          </w:p>
        </w:tc>
      </w:tr>
      <w:tr>
        <w:tc>
          <w:tcPr>
            <w:tcW w:type="dxa" w:w="3402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Автоматизирани проверки</w:t>
            </w:r>
          </w:p>
        </w:tc>
        <w:tc>
          <w:tcPr>
            <w:tcW w:type="dxa" w:w="6236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1584 теста при всяко издание</w:t>
            </w:r>
          </w:p>
        </w:tc>
      </w:tr>
      <w:tr>
        <w:tc>
          <w:tcPr>
            <w:tcW w:type="dxa" w:w="3402"/>
            <w:shd w:val="clear" w:color="auto" w:fill="FBF9F3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Изходен код и издания</w:t>
            </w:r>
          </w:p>
        </w:tc>
        <w:tc>
          <w:tcPr>
            <w:tcW w:type="dxa" w:w="6236"/>
            <w:shd w:val="clear" w:color="auto" w:fill="FBF9F3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github.com/plam4o4o-source/yavorec-katalog</w:t>
            </w:r>
          </w:p>
        </w:tc>
      </w:tr>
      <w:tr>
        <w:tc>
          <w:tcPr>
            <w:tcW w:type="dxa" w:w="3402"/>
            <w:shd w:val="clear" w:color="auto" w:fill="F4F0E4"/>
          </w:tcPr>
          <w:p>
            <w:r>
              <w:rPr>
                <w:rFonts w:ascii="Segoe UI" w:hAnsi="Segoe UI"/>
                <w:b/>
                <w:color w:val="1B1813"/>
                <w:sz w:val="20"/>
              </w:rPr>
              <w:t>Уебсайт на програмата</w:t>
            </w:r>
          </w:p>
        </w:tc>
        <w:tc>
          <w:tcPr>
            <w:tcW w:type="dxa" w:w="6236"/>
            <w:shd w:val="clear" w:color="auto" w:fill="F4F0E4"/>
          </w:tcPr>
          <w:p>
            <w:r>
              <w:rPr>
                <w:rFonts w:ascii="Segoe UI" w:hAnsi="Segoe UI"/>
                <w:b w:val="0"/>
                <w:color w:val="1B1813"/>
                <w:sz w:val="20"/>
              </w:rPr>
              <w:t>invlib.com</w:t>
            </w:r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100">
    <w:lvl w:ilvl="0">
      <w:numFmt w:val="bullet"/>
      <w:lvlText w:val="•"/>
      <w:pPr>
        <w:ind w:left="432" w:hanging="216"/>
      </w:pPr>
      <w:rPr>
        <w:rFonts w:ascii="Segoe UI Symbol" w:hAnsi="Segoe UI Symbol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">
    <w:abstractNumId w:val="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Segoe UI" w:hAnsi="Segoe UI" w:eastAsia="Sego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