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2.4.80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 Утвърждаване само с библиотекар и счетоводител в комисията, името на ръководителя до „УТВЪРДИЛ“; документ при друга библиотека по МЗС не се отчислява.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 Документите, вписани след началото на проверката, и изпратените на друга библиотека по МЗС не стават „липсващ“ — всяка група е на свой ред в протокола.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 Карта на читател, сканирана в полето за връщане, не връща чужда книга; забавата се брои от първия работен ден след падежа, а затворен ден мести падежите напред; квитанция се печата само за получени пари, а на начислението — известие.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 Промените от второ работно място с обща база също стигат до сайта; UNIMARC и CSV носят сигнатурата (УДК и авторски знак).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 Баркодът на етикета за фонда е с модул до 0,5 мм и с празно поле по нормата; на малки етикети отпадат цели редове от заглавната част, а подписите в актовете и регистрите не остават сами на лист.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седем цветови теми, мрежа, служители, резервни копия, помощ и обратна връзка с разработчика. При изчезнала или празна база програмата пита още при старта дали да възстанови копие; паролата на ръчното криптирано копие е поне 10 знака.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InvLib-Setup-2.4.80.exe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2.4.80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2.4.80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849836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v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36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2300+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