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2.4.24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Един инвентарен номер отговаря на един екземпляр — заглавие с няколко екземпляра пуска толкова едновременни заемания, колкото са отделните записи.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Един инвентарен номер отговаря на един екземпляр</w:t>
      </w:r>
      <w:r>
        <w:rPr>
          <w:rFonts w:ascii="Segoe UI" w:hAnsi="Segoe UI"/>
          <w:b w:val="0"/>
          <w:color w:val="1B1813"/>
          <w:sz w:val="22"/>
        </w:rPr>
        <w:t xml:space="preserve"> (от версия 2.4.21) — втори екземпляр от едно заглавие се завежда с бутона „+ Още екземпляр“ от картона на първия: нов запис със следващия свободен инвентарен номер и вече попълнени описание, цена и партида. „Настройки“ → „Проверка на данните“ намира и поправя стари записи с повече от една бройка (внесена по-стара база), без да променя броя документи или стойността на фонда.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Един инвентарен номер отговаря на един екземпляр (от версия 2.4.21): заглавие с няколко екземпляра е толкова отделни записа, а заемането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Резервацията важи срещу конкретния инвентарен номер, не срещу цялото заглавие — при няколко екземпляра друг читател може да вземе свободен,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InvLib-Setup-2.4.24.exe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2.4.24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2.4.24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1170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