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103" w:rsidRDefault="00706103" w:rsidP="00706103">
      <w:pPr>
        <w:pStyle w:val="Title"/>
      </w:pPr>
      <w:r>
        <w:t>Install</w:t>
      </w:r>
      <w:r w:rsidR="00EB7718">
        <w:t>ation Instructions for</w:t>
      </w:r>
      <w:r>
        <w:t xml:space="preserve"> </w:t>
      </w:r>
      <w:proofErr w:type="spellStart"/>
      <w:r>
        <w:t>XBRLReportBuilder</w:t>
      </w:r>
      <w:proofErr w:type="spellEnd"/>
      <w:r w:rsidR="00977913">
        <w:t xml:space="preserve"> </w:t>
      </w:r>
      <w:fldSimple w:instr=" DOCPROPERTY  Version  \* MERGEFORMAT ">
        <w:r w:rsidR="00396FEF">
          <w:t>2.3.0.11</w:t>
        </w:r>
      </w:fldSimple>
    </w:p>
    <w:p w:rsidR="00C86E5B" w:rsidRDefault="00C86E5B" w:rsidP="00706103">
      <w:pPr>
        <w:pStyle w:val="ListParagraph"/>
        <w:numPr>
          <w:ilvl w:val="0"/>
          <w:numId w:val="1"/>
        </w:numPr>
      </w:pPr>
      <w:r>
        <w:t>Let the root folder be called {BIN}.</w:t>
      </w:r>
    </w:p>
    <w:p w:rsidR="00C86E5B" w:rsidRDefault="00264E95" w:rsidP="00C86E5B">
      <w:pPr>
        <w:pStyle w:val="ListParagraph"/>
        <w:numPr>
          <w:ilvl w:val="0"/>
          <w:numId w:val="1"/>
        </w:numPr>
      </w:pPr>
      <w:r>
        <w:t xml:space="preserve">If you have a previous version of the program on your </w:t>
      </w:r>
      <w:r w:rsidR="00C86E5B">
        <w:t xml:space="preserve">machine, you will recognize it by having three sub folders of {BIN}, called Dispatcher, </w:t>
      </w:r>
      <w:proofErr w:type="spellStart"/>
      <w:r w:rsidR="00C86E5B">
        <w:t>PreviewBuilder</w:t>
      </w:r>
      <w:proofErr w:type="spellEnd"/>
      <w:r w:rsidR="00C86E5B">
        <w:t xml:space="preserve">, and </w:t>
      </w:r>
      <w:proofErr w:type="spellStart"/>
      <w:r w:rsidR="00C86E5B">
        <w:t>SECbuilder</w:t>
      </w:r>
      <w:proofErr w:type="spellEnd"/>
      <w:r w:rsidR="00C86E5B">
        <w:t>.</w:t>
      </w:r>
    </w:p>
    <w:p w:rsidR="00264E95" w:rsidRDefault="00C86E5B" w:rsidP="00264E95">
      <w:pPr>
        <w:pStyle w:val="ListParagraph"/>
        <w:numPr>
          <w:ilvl w:val="1"/>
          <w:numId w:val="1"/>
        </w:numPr>
      </w:pPr>
      <w:r>
        <w:t>Execute {BIN}\</w:t>
      </w:r>
      <w:r w:rsidR="00264E95">
        <w:t xml:space="preserve">stopservices.bat.  </w:t>
      </w:r>
    </w:p>
    <w:p w:rsidR="00C86E5B" w:rsidRDefault="00C86E5B" w:rsidP="00C86E5B">
      <w:pPr>
        <w:pStyle w:val="ListParagraph"/>
        <w:numPr>
          <w:ilvl w:val="1"/>
          <w:numId w:val="1"/>
        </w:numPr>
      </w:pPr>
      <w:proofErr w:type="spellStart"/>
      <w:r>
        <w:t>Execcute</w:t>
      </w:r>
      <w:proofErr w:type="spellEnd"/>
      <w:r>
        <w:t xml:space="preserve"> {BIN}\uninstallservices.bat</w:t>
      </w:r>
    </w:p>
    <w:p w:rsidR="00264E95" w:rsidRDefault="00264E95" w:rsidP="00264E95">
      <w:pPr>
        <w:pStyle w:val="ListParagraph"/>
        <w:numPr>
          <w:ilvl w:val="1"/>
          <w:numId w:val="1"/>
        </w:numPr>
      </w:pPr>
      <w:r>
        <w:t>Verify tha</w:t>
      </w:r>
      <w:r w:rsidR="00BE3120">
        <w:t xml:space="preserve">t the </w:t>
      </w:r>
      <w:r w:rsidR="00C86E5B">
        <w:t>services ‘</w:t>
      </w:r>
      <w:proofErr w:type="spellStart"/>
      <w:r w:rsidR="00C86E5B">
        <w:t>ReportDispatcher</w:t>
      </w:r>
      <w:proofErr w:type="spellEnd"/>
      <w:r w:rsidR="00C86E5B">
        <w:t>’ ‘</w:t>
      </w:r>
      <w:proofErr w:type="spellStart"/>
      <w:r w:rsidR="00C86E5B">
        <w:t>ReportBuilderSEC</w:t>
      </w:r>
      <w:proofErr w:type="spellEnd"/>
      <w:r w:rsidR="00C86E5B">
        <w:t>’ and ‘</w:t>
      </w:r>
      <w:proofErr w:type="spellStart"/>
      <w:r w:rsidR="00C86E5B">
        <w:t>ReportBuilderPreview</w:t>
      </w:r>
      <w:proofErr w:type="spellEnd"/>
      <w:r w:rsidR="00C86E5B">
        <w:t xml:space="preserve">’ </w:t>
      </w:r>
      <w:r w:rsidR="00BE3120">
        <w:t>have been remove</w:t>
      </w:r>
      <w:r>
        <w:t>d by opening “Services” from Administrative Tools.</w:t>
      </w:r>
    </w:p>
    <w:p w:rsidR="009C23F5" w:rsidRDefault="009C23F5" w:rsidP="009C23F5">
      <w:pPr>
        <w:pStyle w:val="ListParagraph"/>
        <w:numPr>
          <w:ilvl w:val="0"/>
          <w:numId w:val="1"/>
        </w:numPr>
      </w:pPr>
      <w:r>
        <w:t xml:space="preserve">Unzip </w:t>
      </w:r>
      <w:r w:rsidR="00405391">
        <w:t>XBRLReportBuilder</w:t>
      </w:r>
      <w:r w:rsidR="00505EAF">
        <w:t>.</w:t>
      </w:r>
      <w:fldSimple w:instr=" DOCPROPERTY  Version  \* MERGEFORMAT ">
        <w:r w:rsidR="00396FEF">
          <w:t>2.3.0.11</w:t>
        </w:r>
      </w:fldSimple>
      <w:r w:rsidR="00505EAF">
        <w:t>.</w:t>
      </w:r>
      <w:r w:rsidRPr="00E83489">
        <w:t>zip</w:t>
      </w:r>
      <w:r>
        <w:t xml:space="preserve"> to a directory of your choice on the windows machine where the process</w:t>
      </w:r>
      <w:r w:rsidR="00405391">
        <w:t>es</w:t>
      </w:r>
      <w:r>
        <w:t xml:space="preserve"> will be </w:t>
      </w:r>
      <w:r w:rsidR="00C86E5B">
        <w:t>run.</w:t>
      </w:r>
    </w:p>
    <w:p w:rsidR="00264E95" w:rsidRDefault="00C86E5B" w:rsidP="00264E95">
      <w:pPr>
        <w:pStyle w:val="ListParagraph"/>
        <w:numPr>
          <w:ilvl w:val="0"/>
          <w:numId w:val="1"/>
        </w:numPr>
      </w:pPr>
      <w:r>
        <w:t>In folder {BIN},</w:t>
      </w:r>
      <w:r w:rsidR="00264E95">
        <w:t xml:space="preserve"> you will see three subdirectories – Dispatcher, </w:t>
      </w:r>
      <w:proofErr w:type="spellStart"/>
      <w:r w:rsidR="00264E95">
        <w:t>PreviewBuilder</w:t>
      </w:r>
      <w:proofErr w:type="spellEnd"/>
      <w:r w:rsidR="00264E95">
        <w:t xml:space="preserve">, and </w:t>
      </w:r>
      <w:proofErr w:type="spellStart"/>
      <w:r w:rsidR="00264E95">
        <w:t>SECBuilder</w:t>
      </w:r>
      <w:proofErr w:type="spellEnd"/>
      <w:r w:rsidR="00264E95">
        <w:t xml:space="preserve">.  There are two report builder engines – </w:t>
      </w:r>
      <w:proofErr w:type="spellStart"/>
      <w:r w:rsidR="00264E95">
        <w:t>PreviewBuilder</w:t>
      </w:r>
      <w:proofErr w:type="spellEnd"/>
      <w:r w:rsidR="00264E95">
        <w:t xml:space="preserve"> and </w:t>
      </w:r>
      <w:proofErr w:type="spellStart"/>
      <w:r w:rsidR="00264E95">
        <w:t>SECBuilder</w:t>
      </w:r>
      <w:proofErr w:type="spellEnd"/>
      <w:r w:rsidR="00264E95">
        <w:t xml:space="preserve">.  Preview is for users who want to preview their filing before officially filing through </w:t>
      </w:r>
      <w:proofErr w:type="spellStart"/>
      <w:r w:rsidR="00264E95">
        <w:t>SECBuilder</w:t>
      </w:r>
      <w:proofErr w:type="spellEnd"/>
      <w:r w:rsidR="00264E95">
        <w:t>.</w:t>
      </w:r>
      <w:r>
        <w:t xml:space="preserve">  They have identical binaries, but are different in their .</w:t>
      </w:r>
      <w:proofErr w:type="spellStart"/>
      <w:r>
        <w:t>config</w:t>
      </w:r>
      <w:proofErr w:type="spellEnd"/>
      <w:r>
        <w:t xml:space="preserve"> files.  </w:t>
      </w:r>
      <w:r w:rsidR="00721239">
        <w:t>You will need to configure both engines using the steps below.</w:t>
      </w:r>
    </w:p>
    <w:p w:rsidR="00706103" w:rsidRDefault="00FE664F" w:rsidP="00706103">
      <w:pPr>
        <w:pStyle w:val="ListParagraph"/>
        <w:numPr>
          <w:ilvl w:val="0"/>
          <w:numId w:val="1"/>
        </w:numPr>
      </w:pPr>
      <w:r>
        <w:t xml:space="preserve">Edit </w:t>
      </w:r>
      <w:r w:rsidR="00C86E5B">
        <w:t>file</w:t>
      </w:r>
      <w:r w:rsidR="00706103">
        <w:t xml:space="preserve"> </w:t>
      </w:r>
      <w:r w:rsidR="00C86E5B">
        <w:t>{BIN}\SECBuilder\</w:t>
      </w:r>
      <w:r w:rsidR="00706103">
        <w:t>Aucent.XBRLReportBuilder.Builder</w:t>
      </w:r>
      <w:r w:rsidR="00721239">
        <w:t>Service</w:t>
      </w:r>
      <w:r w:rsidR="00706103">
        <w:t>.exe.config</w:t>
      </w:r>
      <w:r w:rsidR="00DE064A">
        <w:t xml:space="preserve"> </w:t>
      </w:r>
      <w:r w:rsidR="00D3579A">
        <w:t xml:space="preserve">using any plain text </w:t>
      </w:r>
      <w:r w:rsidR="00AF13B4">
        <w:t>editor:</w:t>
      </w:r>
    </w:p>
    <w:p w:rsidR="00D3579A" w:rsidRDefault="00706103" w:rsidP="00610219">
      <w:pPr>
        <w:pStyle w:val="ListParagraph"/>
        <w:numPr>
          <w:ilvl w:val="1"/>
          <w:numId w:val="1"/>
        </w:numPr>
      </w:pPr>
      <w:r>
        <w:t xml:space="preserve">Modify the machine name on the </w:t>
      </w:r>
      <w:r w:rsidR="00643B90">
        <w:t>“</w:t>
      </w:r>
      <w:proofErr w:type="spellStart"/>
      <w:r w:rsidR="00643B90">
        <w:t>DispatcherUri</w:t>
      </w:r>
      <w:proofErr w:type="spellEnd"/>
      <w:r w:rsidR="00643B90">
        <w:t xml:space="preserve">” </w:t>
      </w:r>
      <w:r>
        <w:t xml:space="preserve">“add key” value. </w:t>
      </w:r>
      <w:r w:rsidR="00D3579A">
        <w:t xml:space="preserve"> Where {HOST} is usually ‘</w:t>
      </w:r>
      <w:proofErr w:type="spellStart"/>
      <w:r w:rsidR="00D3579A">
        <w:t>localhost</w:t>
      </w:r>
      <w:proofErr w:type="spellEnd"/>
      <w:r w:rsidR="00D3579A">
        <w:t>’, i</w:t>
      </w:r>
      <w:r>
        <w:t xml:space="preserve">t should read:  </w:t>
      </w:r>
    </w:p>
    <w:p w:rsidR="00D3579A" w:rsidRDefault="00706103" w:rsidP="00D3579A">
      <w:pPr>
        <w:ind w:left="1440"/>
      </w:pPr>
      <w:r w:rsidRPr="00706103">
        <w:t>&lt;add key="</w:t>
      </w:r>
      <w:proofErr w:type="spellStart"/>
      <w:r w:rsidRPr="00706103">
        <w:t>DispatcherUri</w:t>
      </w:r>
      <w:proofErr w:type="spellEnd"/>
      <w:r w:rsidRPr="00706103">
        <w:t>" value="</w:t>
      </w:r>
      <w:proofErr w:type="gramStart"/>
      <w:r w:rsidRPr="00706103">
        <w:t>tcp:</w:t>
      </w:r>
      <w:proofErr w:type="gramEnd"/>
      <w:r w:rsidRPr="00706103">
        <w:t>//</w:t>
      </w:r>
      <w:r w:rsidR="00722AF7" w:rsidRPr="00D3579A">
        <w:rPr>
          <w:color w:val="FF0000"/>
        </w:rPr>
        <w:t>{HOST}</w:t>
      </w:r>
      <w:r w:rsidRPr="00706103">
        <w:t>:9501/ReportDispatcherServer" /&gt;</w:t>
      </w:r>
      <w:r w:rsidR="00722AF7">
        <w:t xml:space="preserve"> </w:t>
      </w:r>
    </w:p>
    <w:p w:rsidR="00C86E5B" w:rsidRDefault="00A74A7A" w:rsidP="00A74A7A">
      <w:pPr>
        <w:pStyle w:val="ListParagraph"/>
        <w:numPr>
          <w:ilvl w:val="1"/>
          <w:numId w:val="1"/>
        </w:numPr>
      </w:pPr>
      <w:r>
        <w:t xml:space="preserve">Modify the </w:t>
      </w:r>
      <w:r w:rsidR="00643B90">
        <w:t>“</w:t>
      </w:r>
      <w:proofErr w:type="spellStart"/>
      <w:r w:rsidR="00643B90">
        <w:t>FilingsFolder</w:t>
      </w:r>
      <w:proofErr w:type="spellEnd"/>
      <w:r w:rsidR="00643B90">
        <w:t>”</w:t>
      </w:r>
      <w:r>
        <w:t xml:space="preserve"> “add key” value with the folder of where</w:t>
      </w:r>
      <w:r w:rsidR="00AF1DDE">
        <w:t xml:space="preserve"> filings that need to be processed will be placed</w:t>
      </w:r>
      <w:r>
        <w:t xml:space="preserve">.  </w:t>
      </w:r>
      <w:r w:rsidR="007C6E8E">
        <w:t>This path must exist on your system.</w:t>
      </w:r>
      <w:r w:rsidR="00C86E5B">
        <w:t xml:space="preserve">  We will call the root of these folders {QUEUE}, as for example QUEUE might be c:\ReportBuilder:</w:t>
      </w:r>
    </w:p>
    <w:p w:rsidR="00A74A7A" w:rsidRDefault="00A74A7A" w:rsidP="00D3579A">
      <w:pPr>
        <w:ind w:left="1980"/>
      </w:pPr>
      <w:r>
        <w:t>&lt;add key="</w:t>
      </w:r>
      <w:proofErr w:type="spellStart"/>
      <w:r w:rsidR="00573ECB">
        <w:t>Filing</w:t>
      </w:r>
      <w:r>
        <w:t>sFolder</w:t>
      </w:r>
      <w:proofErr w:type="spellEnd"/>
      <w:r>
        <w:t>" value="</w:t>
      </w:r>
      <w:r w:rsidR="00C86E5B" w:rsidRPr="00D3579A">
        <w:rPr>
          <w:color w:val="FF0000"/>
        </w:rPr>
        <w:t>{QUEUE}</w:t>
      </w:r>
      <w:r w:rsidRPr="00D3579A">
        <w:rPr>
          <w:color w:val="FF0000"/>
        </w:rPr>
        <w:t>\</w:t>
      </w:r>
      <w:proofErr w:type="spellStart"/>
      <w:r w:rsidR="00573ECB" w:rsidRPr="00D3579A">
        <w:rPr>
          <w:color w:val="FF0000"/>
        </w:rPr>
        <w:t>SEC</w:t>
      </w:r>
      <w:r w:rsidR="00C86E5B" w:rsidRPr="00D3579A">
        <w:rPr>
          <w:color w:val="FF0000"/>
        </w:rPr>
        <w:t>Builder</w:t>
      </w:r>
      <w:proofErr w:type="spellEnd"/>
      <w:r w:rsidR="00573ECB" w:rsidRPr="00D3579A">
        <w:rPr>
          <w:color w:val="FF0000"/>
        </w:rPr>
        <w:t>\Filings</w:t>
      </w:r>
      <w:r>
        <w:t>" /&gt;</w:t>
      </w:r>
    </w:p>
    <w:p w:rsidR="00D3579A" w:rsidRDefault="00721239" w:rsidP="00721239">
      <w:pPr>
        <w:pStyle w:val="ListParagraph"/>
        <w:numPr>
          <w:ilvl w:val="1"/>
          <w:numId w:val="1"/>
        </w:numPr>
      </w:pPr>
      <w:r>
        <w:t xml:space="preserve">Modify the </w:t>
      </w:r>
      <w:r w:rsidR="00643B90">
        <w:t>“</w:t>
      </w:r>
      <w:proofErr w:type="spellStart"/>
      <w:r w:rsidR="00643B90">
        <w:t>ProcessingFolder</w:t>
      </w:r>
      <w:proofErr w:type="spellEnd"/>
      <w:r w:rsidR="00643B90">
        <w:t>”</w:t>
      </w:r>
      <w:r>
        <w:t xml:space="preserve"> “add key” value with the folder of where the reports that need to be processed will be saved.  This path must exist on your system.   It should read:</w:t>
      </w:r>
    </w:p>
    <w:p w:rsidR="00721239" w:rsidRDefault="00721239" w:rsidP="00D3579A">
      <w:pPr>
        <w:ind w:left="1980"/>
      </w:pPr>
      <w:r>
        <w:t>&lt;add key="</w:t>
      </w:r>
      <w:proofErr w:type="spellStart"/>
      <w:r>
        <w:t>ProcessingFolder</w:t>
      </w:r>
      <w:proofErr w:type="spellEnd"/>
      <w:r>
        <w:t>" value="</w:t>
      </w:r>
      <w:r w:rsidR="00C86E5B" w:rsidRPr="00D3579A">
        <w:rPr>
          <w:color w:val="FF0000"/>
        </w:rPr>
        <w:t>{QUEUE}\</w:t>
      </w:r>
      <w:proofErr w:type="spellStart"/>
      <w:r w:rsidR="00573ECB" w:rsidRPr="00D3579A">
        <w:rPr>
          <w:color w:val="FF0000"/>
        </w:rPr>
        <w:t>SEC</w:t>
      </w:r>
      <w:r w:rsidR="00C86E5B" w:rsidRPr="00D3579A">
        <w:rPr>
          <w:color w:val="FF0000"/>
        </w:rPr>
        <w:t>Builder</w:t>
      </w:r>
      <w:proofErr w:type="spellEnd"/>
      <w:r w:rsidR="00573ECB" w:rsidRPr="00D3579A">
        <w:rPr>
          <w:color w:val="FF0000"/>
        </w:rPr>
        <w:t>\</w:t>
      </w:r>
      <w:r w:rsidRPr="00D3579A">
        <w:rPr>
          <w:color w:val="FF0000"/>
        </w:rPr>
        <w:t>Processing</w:t>
      </w:r>
      <w:r>
        <w:t>"/&gt;</w:t>
      </w:r>
    </w:p>
    <w:p w:rsidR="00D3579A" w:rsidRDefault="00643B90" w:rsidP="00A74A7A">
      <w:pPr>
        <w:pStyle w:val="ListParagraph"/>
        <w:numPr>
          <w:ilvl w:val="1"/>
          <w:numId w:val="1"/>
        </w:numPr>
      </w:pPr>
      <w:r>
        <w:t>Modify the “</w:t>
      </w:r>
      <w:proofErr w:type="spellStart"/>
      <w:r>
        <w:t>ReportsFolder</w:t>
      </w:r>
      <w:proofErr w:type="spellEnd"/>
      <w:r>
        <w:t xml:space="preserve">” “add key” value with the folder </w:t>
      </w:r>
      <w:r w:rsidR="002F135F">
        <w:t xml:space="preserve">of where the processed reports will be saved.  </w:t>
      </w:r>
    </w:p>
    <w:p w:rsidR="00721239" w:rsidRDefault="002F135F" w:rsidP="00D3579A">
      <w:pPr>
        <w:ind w:left="1980"/>
      </w:pPr>
      <w:r>
        <w:t>&lt;add key="</w:t>
      </w:r>
      <w:proofErr w:type="spellStart"/>
      <w:r>
        <w:t>ReportsFolder</w:t>
      </w:r>
      <w:proofErr w:type="spellEnd"/>
      <w:r>
        <w:t>" value="</w:t>
      </w:r>
      <w:r w:rsidR="00C86E5B" w:rsidRPr="00D3579A">
        <w:rPr>
          <w:color w:val="FF0000"/>
        </w:rPr>
        <w:t>{QUEUE}\</w:t>
      </w:r>
      <w:proofErr w:type="spellStart"/>
      <w:r w:rsidR="00C86E5B" w:rsidRPr="00D3579A">
        <w:rPr>
          <w:color w:val="FF0000"/>
        </w:rPr>
        <w:t>SECBuilder</w:t>
      </w:r>
      <w:proofErr w:type="spellEnd"/>
      <w:r w:rsidR="00C86E5B" w:rsidRPr="00D3579A">
        <w:rPr>
          <w:color w:val="FF0000"/>
        </w:rPr>
        <w:t xml:space="preserve"> </w:t>
      </w:r>
      <w:r w:rsidR="00573ECB" w:rsidRPr="00D3579A">
        <w:rPr>
          <w:color w:val="FF0000"/>
        </w:rPr>
        <w:t>\</w:t>
      </w:r>
      <w:r w:rsidRPr="00D3579A">
        <w:rPr>
          <w:color w:val="FF0000"/>
        </w:rPr>
        <w:t>Reports</w:t>
      </w:r>
      <w:r>
        <w:t>"/&gt;</w:t>
      </w:r>
    </w:p>
    <w:p w:rsidR="00D3579A" w:rsidRDefault="002F135F" w:rsidP="002F135F">
      <w:pPr>
        <w:pStyle w:val="ListParagraph"/>
        <w:numPr>
          <w:ilvl w:val="1"/>
          <w:numId w:val="1"/>
        </w:numPr>
      </w:pPr>
      <w:r>
        <w:t>Modify the “</w:t>
      </w:r>
      <w:proofErr w:type="spellStart"/>
      <w:r>
        <w:t>ProcessingFrequency</w:t>
      </w:r>
      <w:proofErr w:type="spellEnd"/>
      <w:r>
        <w:t xml:space="preserve">” “add key” value with number of seconds the service will wait between checks of the filing folder.  </w:t>
      </w:r>
    </w:p>
    <w:p w:rsidR="002F135F" w:rsidRDefault="002F135F" w:rsidP="00D3579A">
      <w:pPr>
        <w:ind w:left="1440"/>
      </w:pPr>
      <w:r>
        <w:lastRenderedPageBreak/>
        <w:t>&lt;add key="</w:t>
      </w:r>
      <w:proofErr w:type="spellStart"/>
      <w:r>
        <w:t>ProcessingFrequency</w:t>
      </w:r>
      <w:proofErr w:type="spellEnd"/>
      <w:r>
        <w:t>" value="</w:t>
      </w:r>
      <w:r w:rsidRPr="00D3579A">
        <w:rPr>
          <w:color w:val="FF0000"/>
        </w:rPr>
        <w:t>60</w:t>
      </w:r>
      <w:r>
        <w:t>"/&gt;</w:t>
      </w:r>
    </w:p>
    <w:p w:rsidR="00C86E5B" w:rsidRDefault="00844510" w:rsidP="002F135F">
      <w:pPr>
        <w:pStyle w:val="ListParagraph"/>
        <w:numPr>
          <w:ilvl w:val="1"/>
          <w:numId w:val="1"/>
        </w:numPr>
      </w:pPr>
      <w:r>
        <w:t>Review the “</w:t>
      </w:r>
      <w:proofErr w:type="spellStart"/>
      <w:r>
        <w:t>DeleteProcessedFilings</w:t>
      </w:r>
      <w:proofErr w:type="spellEnd"/>
      <w:r>
        <w:t>” “</w:t>
      </w:r>
      <w:proofErr w:type="gramStart"/>
      <w:r>
        <w:t>add</w:t>
      </w:r>
      <w:proofErr w:type="gramEnd"/>
      <w:r>
        <w:t xml:space="preserve"> Key” value.  This controls whether filings get deleted from the processing folder.   If set to “true”, filings get deleted from the processing folder after output is sent to the reports folder.   </w:t>
      </w:r>
    </w:p>
    <w:p w:rsidR="00844510" w:rsidRDefault="00C86E5B" w:rsidP="00C86E5B">
      <w:pPr>
        <w:pStyle w:val="ListParagraph"/>
        <w:numPr>
          <w:ilvl w:val="2"/>
          <w:numId w:val="1"/>
        </w:numPr>
      </w:pPr>
      <w:r>
        <w:t xml:space="preserve">NOTE that there </w:t>
      </w:r>
      <w:r w:rsidR="00D3579A">
        <w:t>may be</w:t>
      </w:r>
      <w:r>
        <w:t xml:space="preserve"> other temporary files generated in C:\Windows\Temp, of the form </w:t>
      </w:r>
      <w:proofErr w:type="spellStart"/>
      <w:r>
        <w:t>tmp</w:t>
      </w:r>
      <w:proofErr w:type="spellEnd"/>
      <w:proofErr w:type="gramStart"/>
      <w:r>
        <w:t>????.tmp.html, that</w:t>
      </w:r>
      <w:proofErr w:type="gramEnd"/>
      <w:r>
        <w:t xml:space="preserve"> should be deleted from time to time.</w:t>
      </w:r>
    </w:p>
    <w:p w:rsidR="007C2838" w:rsidRDefault="00844510" w:rsidP="002F135F">
      <w:pPr>
        <w:pStyle w:val="ListParagraph"/>
        <w:numPr>
          <w:ilvl w:val="1"/>
          <w:numId w:val="1"/>
        </w:numPr>
      </w:pPr>
      <w:r>
        <w:t>Review the “</w:t>
      </w:r>
      <w:proofErr w:type="spellStart"/>
      <w:r>
        <w:t>FinancialRuleFile</w:t>
      </w:r>
      <w:proofErr w:type="spellEnd"/>
      <w:r>
        <w:t xml:space="preserve">” </w:t>
      </w:r>
      <w:r w:rsidR="00054117">
        <w:t xml:space="preserve"> “add key” value.</w:t>
      </w:r>
      <w:r>
        <w:t xml:space="preserve">  These keys allow financial and risk return filings to be controlled by different</w:t>
      </w:r>
      <w:r w:rsidR="007C2838">
        <w:t xml:space="preserve"> sets of</w:t>
      </w:r>
      <w:r>
        <w:t xml:space="preserve"> rule</w:t>
      </w:r>
      <w:r w:rsidR="007C2838">
        <w:t>s</w:t>
      </w:r>
      <w:r>
        <w:t>.</w:t>
      </w:r>
      <w:r w:rsidR="007C2838">
        <w:t xml:space="preserve">  The default value for financial is “</w:t>
      </w:r>
      <w:proofErr w:type="spellStart"/>
      <w:r w:rsidR="007C2838">
        <w:t>ReportBuilder</w:t>
      </w:r>
      <w:proofErr w:type="spellEnd"/>
      <w:r w:rsidR="00054117">
        <w:t>”.</w:t>
      </w:r>
    </w:p>
    <w:p w:rsidR="00844510" w:rsidRDefault="00054117" w:rsidP="002F135F">
      <w:pPr>
        <w:pStyle w:val="ListParagraph"/>
        <w:numPr>
          <w:ilvl w:val="1"/>
          <w:numId w:val="1"/>
        </w:numPr>
      </w:pPr>
      <w:r>
        <w:t>Note that earlier versions of the engine had keys</w:t>
      </w:r>
      <w:r w:rsidR="00D3579A">
        <w:t xml:space="preserve"> “</w:t>
      </w:r>
      <w:proofErr w:type="spellStart"/>
      <w:r w:rsidR="00D3579A">
        <w:t>ZipFileRetries</w:t>
      </w:r>
      <w:proofErr w:type="spellEnd"/>
      <w:r w:rsidR="00D3579A">
        <w:t>”,</w:t>
      </w:r>
      <w:r>
        <w:t xml:space="preserve"> “</w:t>
      </w:r>
      <w:proofErr w:type="spellStart"/>
      <w:r>
        <w:t>RiskReturnRuleFile</w:t>
      </w:r>
      <w:proofErr w:type="spellEnd"/>
      <w:r>
        <w:t>” and “</w:t>
      </w:r>
      <w:proofErr w:type="spellStart"/>
      <w:r>
        <w:t>RiskReturnURI</w:t>
      </w:r>
      <w:proofErr w:type="spellEnd"/>
      <w:r>
        <w:t xml:space="preserve">” which are now obsolete, and can be deleted from the </w:t>
      </w:r>
      <w:fldSimple w:instr=" DOCPROPERTY  Version  \* MERGEFORMAT ">
        <w:r w:rsidR="00396FEF">
          <w:t>2.3.0.11</w:t>
        </w:r>
      </w:fldSimple>
      <w:r w:rsidR="00405391">
        <w:t xml:space="preserve"> </w:t>
      </w:r>
      <w:r>
        <w:t>configuration file</w:t>
      </w:r>
      <w:r w:rsidR="000B663B">
        <w:t xml:space="preserve"> if they appear</w:t>
      </w:r>
      <w:r>
        <w:t>.</w:t>
      </w:r>
    </w:p>
    <w:p w:rsidR="003F785B" w:rsidRPr="00505EAF" w:rsidRDefault="003F785B" w:rsidP="002F135F">
      <w:pPr>
        <w:pStyle w:val="ListParagraph"/>
        <w:numPr>
          <w:ilvl w:val="1"/>
          <w:numId w:val="1"/>
        </w:numPr>
      </w:pPr>
      <w:proofErr w:type="gramStart"/>
      <w:r w:rsidRPr="00505EAF">
        <w:t>Review the “</w:t>
      </w:r>
      <w:proofErr w:type="spellStart"/>
      <w:r w:rsidRPr="00505EAF">
        <w:t>ReportFormat</w:t>
      </w:r>
      <w:proofErr w:type="spellEnd"/>
      <w:r w:rsidRPr="00505EAF">
        <w:t>” add</w:t>
      </w:r>
      <w:proofErr w:type="gramEnd"/>
      <w:r w:rsidRPr="00505EAF">
        <w:t xml:space="preserve"> key value.  </w:t>
      </w:r>
      <w:r w:rsidR="00D3579A">
        <w:t>The</w:t>
      </w:r>
      <w:r w:rsidRPr="00505EAF">
        <w:t xml:space="preserve"> value here </w:t>
      </w:r>
      <w:r w:rsidR="00D3579A">
        <w:t>is usually</w:t>
      </w:r>
      <w:r w:rsidRPr="00505EAF">
        <w:t xml:space="preserve"> “Html”.</w:t>
      </w:r>
    </w:p>
    <w:p w:rsidR="003F785B" w:rsidRPr="00505EAF" w:rsidRDefault="003F785B" w:rsidP="002F135F">
      <w:pPr>
        <w:pStyle w:val="ListParagraph"/>
        <w:numPr>
          <w:ilvl w:val="1"/>
          <w:numId w:val="1"/>
        </w:numPr>
      </w:pPr>
      <w:proofErr w:type="gramStart"/>
      <w:r w:rsidRPr="00505EAF">
        <w:t>Review the “</w:t>
      </w:r>
      <w:proofErr w:type="spellStart"/>
      <w:r w:rsidRPr="00505EAF">
        <w:t>HtmlReportFormat</w:t>
      </w:r>
      <w:proofErr w:type="spellEnd"/>
      <w:r w:rsidRPr="00505EAF">
        <w:t>” add</w:t>
      </w:r>
      <w:proofErr w:type="gramEnd"/>
      <w:r w:rsidRPr="00505EAF">
        <w:t xml:space="preserve"> key value.  The value of this key is</w:t>
      </w:r>
      <w:r w:rsidR="00D3579A">
        <w:t xml:space="preserve"> usually</w:t>
      </w:r>
      <w:r w:rsidRPr="00505EAF">
        <w:t xml:space="preserve"> “Complete”</w:t>
      </w:r>
      <w:r w:rsidR="00D3579A">
        <w:t xml:space="preserve">; if you have written a </w:t>
      </w:r>
      <w:proofErr w:type="spellStart"/>
      <w:r w:rsidR="00D3579A">
        <w:t>stylesheet</w:t>
      </w:r>
      <w:proofErr w:type="spellEnd"/>
      <w:r w:rsidR="00D3579A">
        <w:t xml:space="preserve"> to assemble multiple reports into a single file, use “Fragment”.</w:t>
      </w:r>
    </w:p>
    <w:p w:rsidR="001652EF" w:rsidRDefault="001652EF" w:rsidP="00A74A7A">
      <w:pPr>
        <w:pStyle w:val="ListParagraph"/>
        <w:numPr>
          <w:ilvl w:val="1"/>
          <w:numId w:val="1"/>
        </w:numPr>
      </w:pPr>
      <w:r>
        <w:t>Review the “</w:t>
      </w:r>
      <w:proofErr w:type="spellStart"/>
      <w:r w:rsidRPr="001652EF">
        <w:t>RemoteFileCachePolicy</w:t>
      </w:r>
      <w:proofErr w:type="spellEnd"/>
      <w:r>
        <w:t xml:space="preserve">: </w:t>
      </w:r>
      <w:proofErr w:type="spellStart"/>
      <w:r>
        <w:t>addkey</w:t>
      </w:r>
      <w:proofErr w:type="spellEnd"/>
      <w:r>
        <w:t xml:space="preserve"> value.  </w:t>
      </w:r>
      <w:r w:rsidR="00D3579A">
        <w:t>“Default” is a safe choice.</w:t>
      </w:r>
    </w:p>
    <w:p w:rsidR="00DE064A" w:rsidRDefault="00DE064A" w:rsidP="00A74A7A">
      <w:pPr>
        <w:pStyle w:val="ListParagraph"/>
        <w:numPr>
          <w:ilvl w:val="1"/>
          <w:numId w:val="1"/>
        </w:numPr>
      </w:pPr>
      <w:r>
        <w:t>Save the file with your changes.</w:t>
      </w:r>
    </w:p>
    <w:p w:rsidR="00F470EE" w:rsidRDefault="00F470EE" w:rsidP="00F470EE">
      <w:pPr>
        <w:pStyle w:val="ListParagraph"/>
        <w:numPr>
          <w:ilvl w:val="0"/>
          <w:numId w:val="1"/>
        </w:numPr>
      </w:pPr>
      <w:r>
        <w:t>Repeat step</w:t>
      </w:r>
      <w:r w:rsidR="00D44860">
        <w:t xml:space="preserve"> </w:t>
      </w:r>
      <w:r>
        <w:t xml:space="preserve">4 for the </w:t>
      </w:r>
      <w:proofErr w:type="spellStart"/>
      <w:proofErr w:type="gramStart"/>
      <w:r>
        <w:t>config</w:t>
      </w:r>
      <w:proofErr w:type="spellEnd"/>
      <w:r w:rsidR="00E83489">
        <w:t xml:space="preserve"> </w:t>
      </w:r>
      <w:r>
        <w:t xml:space="preserve"> file</w:t>
      </w:r>
      <w:proofErr w:type="gramEnd"/>
      <w:r>
        <w:t xml:space="preserve"> found under </w:t>
      </w:r>
      <w:proofErr w:type="spellStart"/>
      <w:r>
        <w:t>PreviewBuilder</w:t>
      </w:r>
      <w:proofErr w:type="spellEnd"/>
      <w:r>
        <w:t>.</w:t>
      </w:r>
      <w:r w:rsidR="00E83489">
        <w:t xml:space="preserve">  NOTE that its queues must be in a different location, such as {QUEUE}\</w:t>
      </w:r>
      <w:proofErr w:type="spellStart"/>
      <w:r w:rsidR="00E83489">
        <w:t>PreviewBuilder</w:t>
      </w:r>
      <w:proofErr w:type="spellEnd"/>
      <w:r w:rsidR="00E83489">
        <w:t>\Filings, {QUEUE}\</w:t>
      </w:r>
      <w:proofErr w:type="spellStart"/>
      <w:r w:rsidR="00E83489">
        <w:t>PreviewBuilder</w:t>
      </w:r>
      <w:proofErr w:type="spellEnd"/>
      <w:r w:rsidR="00E83489">
        <w:t>\Reports, etc.</w:t>
      </w:r>
    </w:p>
    <w:p w:rsidR="00E83489" w:rsidRDefault="00E83489" w:rsidP="00DE064A">
      <w:pPr>
        <w:pStyle w:val="ListParagraph"/>
        <w:numPr>
          <w:ilvl w:val="0"/>
          <w:numId w:val="1"/>
        </w:numPr>
      </w:pPr>
      <w:r>
        <w:t>WARNING: Make sure the services window (shown below) is not open when executing the next step.</w:t>
      </w:r>
    </w:p>
    <w:p w:rsidR="00DE064A" w:rsidRDefault="00E83489" w:rsidP="00DE064A">
      <w:pPr>
        <w:pStyle w:val="ListParagraph"/>
        <w:numPr>
          <w:ilvl w:val="0"/>
          <w:numId w:val="1"/>
        </w:numPr>
      </w:pPr>
      <w:r>
        <w:t>Run {BIN}\</w:t>
      </w:r>
      <w:r w:rsidR="00DE064A">
        <w:t>InstallServices.bat to execute the install process.</w:t>
      </w:r>
      <w:r w:rsidR="0061503A">
        <w:t xml:space="preserve">  </w:t>
      </w:r>
    </w:p>
    <w:p w:rsidR="00DE064A" w:rsidRDefault="00E83489" w:rsidP="00DE064A">
      <w:pPr>
        <w:pStyle w:val="ListParagraph"/>
        <w:numPr>
          <w:ilvl w:val="0"/>
          <w:numId w:val="1"/>
        </w:numPr>
      </w:pPr>
      <w:r>
        <w:t>Run {BIN}\</w:t>
      </w:r>
      <w:r w:rsidR="00DE064A">
        <w:t>StartServices.bat to start the dispatcher and report builder services.</w:t>
      </w:r>
    </w:p>
    <w:p w:rsidR="00722AF7" w:rsidRDefault="009367C5" w:rsidP="00722AF7">
      <w:pPr>
        <w:pStyle w:val="ListParagraph"/>
        <w:numPr>
          <w:ilvl w:val="1"/>
          <w:numId w:val="1"/>
        </w:numPr>
      </w:pPr>
      <w:r>
        <w:t>If this fails, it is most often</w:t>
      </w:r>
      <w:r w:rsidR="00722AF7">
        <w:t xml:space="preserve"> because the .</w:t>
      </w:r>
      <w:proofErr w:type="spellStart"/>
      <w:r w:rsidR="00722AF7">
        <w:t>config</w:t>
      </w:r>
      <w:proofErr w:type="spellEnd"/>
      <w:r w:rsidR="00722AF7">
        <w:t xml:space="preserve"> file for the service contains </w:t>
      </w:r>
      <w:r>
        <w:t>a</w:t>
      </w:r>
      <w:r w:rsidR="00722AF7">
        <w:t xml:space="preserve"> file path that does not exist.  Check the {BIN}\</w:t>
      </w:r>
      <w:proofErr w:type="spellStart"/>
      <w:r w:rsidR="00722AF7">
        <w:t>PreviewBuilder</w:t>
      </w:r>
      <w:proofErr w:type="spellEnd"/>
      <w:r w:rsidR="00722AF7">
        <w:t>\</w:t>
      </w:r>
      <w:r w:rsidRPr="009367C5">
        <w:t xml:space="preserve"> </w:t>
      </w:r>
      <w:proofErr w:type="spellStart"/>
      <w:r w:rsidRPr="009367C5">
        <w:t>Aucent.XBRLReportBuilder.BuilderService.exe.config</w:t>
      </w:r>
      <w:proofErr w:type="spellEnd"/>
      <w:r>
        <w:t xml:space="preserve"> </w:t>
      </w:r>
      <w:r w:rsidR="00722AF7">
        <w:t>and {BIN}\</w:t>
      </w:r>
      <w:proofErr w:type="spellStart"/>
      <w:r w:rsidR="00722AF7">
        <w:t>SECBuilder</w:t>
      </w:r>
      <w:proofErr w:type="spellEnd"/>
      <w:r w:rsidR="00722AF7">
        <w:t>\</w:t>
      </w:r>
      <w:r w:rsidRPr="009367C5">
        <w:t xml:space="preserve"> </w:t>
      </w:r>
      <w:proofErr w:type="spellStart"/>
      <w:r w:rsidRPr="009367C5">
        <w:t>Aucent.XBRLReportBuilder.BuilderService.exe.config</w:t>
      </w:r>
      <w:proofErr w:type="spellEnd"/>
      <w:r>
        <w:t xml:space="preserve"> </w:t>
      </w:r>
      <w:r w:rsidR="00722AF7">
        <w:t>files again.</w:t>
      </w:r>
    </w:p>
    <w:p w:rsidR="00D3579A" w:rsidRDefault="0072358B" w:rsidP="00722AF7">
      <w:pPr>
        <w:pStyle w:val="ListParagraph"/>
        <w:numPr>
          <w:ilvl w:val="1"/>
          <w:numId w:val="1"/>
        </w:numPr>
      </w:pPr>
      <w:r>
        <w:t>Oth</w:t>
      </w:r>
      <w:r w:rsidR="00D3579A">
        <w:t>er reasons for failure include:</w:t>
      </w:r>
    </w:p>
    <w:p w:rsidR="00D3579A" w:rsidRDefault="0072358B" w:rsidP="00D3579A">
      <w:pPr>
        <w:pStyle w:val="ListParagraph"/>
        <w:numPr>
          <w:ilvl w:val="2"/>
          <w:numId w:val="1"/>
        </w:numPr>
      </w:pPr>
      <w:r>
        <w:t>t</w:t>
      </w:r>
      <w:r w:rsidR="00722AF7">
        <w:t>he {HOST} might not exist or be unreachable</w:t>
      </w:r>
    </w:p>
    <w:p w:rsidR="00D3579A" w:rsidRDefault="00D12190" w:rsidP="00D3579A">
      <w:pPr>
        <w:pStyle w:val="ListParagraph"/>
        <w:numPr>
          <w:ilvl w:val="2"/>
          <w:numId w:val="1"/>
        </w:numPr>
      </w:pPr>
      <w:r>
        <w:t>The port</w:t>
      </w:r>
      <w:r w:rsidR="00D3579A">
        <w:t xml:space="preserve"> chosen may already be in use (the service is already installed and running)</w:t>
      </w:r>
    </w:p>
    <w:p w:rsidR="00D3579A" w:rsidRDefault="00D3579A" w:rsidP="00D3579A">
      <w:pPr>
        <w:pStyle w:val="ListParagraph"/>
        <w:numPr>
          <w:ilvl w:val="2"/>
          <w:numId w:val="1"/>
        </w:numPr>
      </w:pPr>
      <w:r>
        <w:t>T</w:t>
      </w:r>
      <w:r w:rsidR="0072358B">
        <w:t>he</w:t>
      </w:r>
      <w:r w:rsidR="009367C5">
        <w:t xml:space="preserve"> ports</w:t>
      </w:r>
      <w:r w:rsidR="00D12190">
        <w:t xml:space="preserve"> </w:t>
      </w:r>
      <w:r w:rsidR="009367C5">
        <w:t xml:space="preserve">chosen may be </w:t>
      </w:r>
      <w:r>
        <w:t>blocked</w:t>
      </w:r>
      <w:r w:rsidR="0072358B">
        <w:t xml:space="preserve"> or t</w:t>
      </w:r>
      <w:r w:rsidR="00AA244D">
        <w:t>he service is already installed and running.</w:t>
      </w:r>
      <w:r w:rsidR="00BD5CEB">
        <w:t xml:space="preserve">  </w:t>
      </w:r>
    </w:p>
    <w:p w:rsidR="00722AF7" w:rsidRDefault="00BD5CEB" w:rsidP="00D3579A">
      <w:pPr>
        <w:pStyle w:val="ListParagraph"/>
        <w:numPr>
          <w:ilvl w:val="1"/>
          <w:numId w:val="1"/>
        </w:numPr>
      </w:pPr>
      <w:r>
        <w:t>On Windows Vista the system will ask whether you want to allow the application access through the</w:t>
      </w:r>
      <w:r w:rsidR="003A33B2">
        <w:t xml:space="preserve"> firewall; say yes, but then restart</w:t>
      </w:r>
      <w:r w:rsidR="0064276C">
        <w:t xml:space="preserve"> the service.</w:t>
      </w:r>
    </w:p>
    <w:p w:rsidR="00DE064A" w:rsidRDefault="00DE064A" w:rsidP="00DE064A">
      <w:pPr>
        <w:pStyle w:val="ListParagraph"/>
        <w:numPr>
          <w:ilvl w:val="0"/>
          <w:numId w:val="1"/>
        </w:numPr>
      </w:pPr>
      <w:r>
        <w:t>Check the services monitor to verify services are running.</w:t>
      </w:r>
    </w:p>
    <w:p w:rsidR="00A74A7A" w:rsidRDefault="00876983" w:rsidP="00DE064A">
      <w:r>
        <w:rPr>
          <w:noProof/>
        </w:rPr>
        <w:lastRenderedPageBreak/>
        <w:drawing>
          <wp:inline distT="0" distB="0" distL="0" distR="0">
            <wp:extent cx="5676900" cy="2152650"/>
            <wp:effectExtent l="19050" t="0" r="0" b="0"/>
            <wp:docPr id="1" name="Picture 1" descr="SS-10.23.2008-03.31.02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10.23.2008-03.31.02PM.jpg"/>
                    <pic:cNvPicPr>
                      <a:picLocks noChangeAspect="1" noChangeArrowheads="1"/>
                    </pic:cNvPicPr>
                  </pic:nvPicPr>
                  <pic:blipFill>
                    <a:blip r:embed="rId7" cstate="print"/>
                    <a:srcRect/>
                    <a:stretch>
                      <a:fillRect/>
                    </a:stretch>
                  </pic:blipFill>
                  <pic:spPr bwMode="auto">
                    <a:xfrm>
                      <a:off x="0" y="0"/>
                      <a:ext cx="5676900" cy="2152650"/>
                    </a:xfrm>
                    <a:prstGeom prst="rect">
                      <a:avLst/>
                    </a:prstGeom>
                    <a:noFill/>
                    <a:ln w="9525">
                      <a:noFill/>
                      <a:miter lim="800000"/>
                      <a:headEnd/>
                      <a:tailEnd/>
                    </a:ln>
                  </pic:spPr>
                </pic:pic>
              </a:graphicData>
            </a:graphic>
          </wp:inline>
        </w:drawing>
      </w:r>
      <w:r w:rsidR="00DE064A">
        <w:tab/>
      </w:r>
      <w:r w:rsidR="00DE064A">
        <w:tab/>
      </w:r>
    </w:p>
    <w:p w:rsidR="00DE064A" w:rsidRDefault="00DE064A" w:rsidP="00DE064A"/>
    <w:p w:rsidR="00722AF7" w:rsidRDefault="00354600" w:rsidP="00DE064A">
      <w:pPr>
        <w:pStyle w:val="ListParagraph"/>
        <w:numPr>
          <w:ilvl w:val="0"/>
          <w:numId w:val="1"/>
        </w:numPr>
      </w:pPr>
      <w:r>
        <w:t>Copy</w:t>
      </w:r>
      <w:r w:rsidR="00DE064A">
        <w:t xml:space="preserve"> </w:t>
      </w:r>
      <w:r w:rsidR="0061503A">
        <w:t>XBRL</w:t>
      </w:r>
      <w:r>
        <w:t xml:space="preserve"> filings (zip files) int</w:t>
      </w:r>
      <w:r w:rsidR="00722AF7">
        <w:t>o either folder {QUEUE</w:t>
      </w:r>
      <w:r w:rsidR="00961C61">
        <w:t>}\</w:t>
      </w:r>
      <w:proofErr w:type="spellStart"/>
      <w:r w:rsidR="00961C61">
        <w:t>PreviewBuilder</w:t>
      </w:r>
      <w:proofErr w:type="spellEnd"/>
      <w:r w:rsidR="00961C61">
        <w:t>\</w:t>
      </w:r>
      <w:r w:rsidR="00722AF7">
        <w:t>Filings or {QUEUE}</w:t>
      </w:r>
      <w:r w:rsidR="00961C61">
        <w:t>\</w:t>
      </w:r>
      <w:proofErr w:type="spellStart"/>
      <w:r w:rsidR="00961C61">
        <w:t>SECBuilder</w:t>
      </w:r>
      <w:proofErr w:type="spellEnd"/>
      <w:r w:rsidR="00961C61">
        <w:t>\</w:t>
      </w:r>
      <w:r w:rsidR="00722AF7">
        <w:t>Filings.</w:t>
      </w:r>
    </w:p>
    <w:p w:rsidR="00DE064A" w:rsidRDefault="00D12190" w:rsidP="00DE064A">
      <w:pPr>
        <w:pStyle w:val="ListParagraph"/>
        <w:numPr>
          <w:ilvl w:val="0"/>
          <w:numId w:val="1"/>
        </w:numPr>
      </w:pPr>
      <w:r>
        <w:t xml:space="preserve">When a service sees the reports in its filings </w:t>
      </w:r>
      <w:r w:rsidR="00DE064A">
        <w:t xml:space="preserve">directory, it will </w:t>
      </w:r>
      <w:r>
        <w:t>move</w:t>
      </w:r>
      <w:r w:rsidR="00DE064A">
        <w:t xml:space="preserve"> them to the processing folder, once they are </w:t>
      </w:r>
      <w:r w:rsidR="009C23F5">
        <w:t>processed;</w:t>
      </w:r>
      <w:r w:rsidR="00DE064A">
        <w:t xml:space="preserve"> the resulting files will be </w:t>
      </w:r>
      <w:r>
        <w:t xml:space="preserve">moved to </w:t>
      </w:r>
      <w:r w:rsidR="00DE064A">
        <w:t>the reports folder.</w:t>
      </w:r>
    </w:p>
    <w:p w:rsidR="00111402" w:rsidRDefault="00111402" w:rsidP="00DE064A">
      <w:pPr>
        <w:pStyle w:val="ListParagraph"/>
        <w:numPr>
          <w:ilvl w:val="0"/>
          <w:numId w:val="1"/>
        </w:numPr>
      </w:pPr>
      <w:r>
        <w:t>If services need to be stopped, use</w:t>
      </w:r>
      <w:r w:rsidR="00915D45">
        <w:t xml:space="preserve"> {BIN}\</w:t>
      </w:r>
      <w:r>
        <w:t>StopServices.bat.</w:t>
      </w:r>
    </w:p>
    <w:p w:rsidR="00D3579A" w:rsidRPr="00D3579A" w:rsidRDefault="00D3579A" w:rsidP="00D3579A">
      <w:pPr>
        <w:pStyle w:val="ListParagraph"/>
        <w:numPr>
          <w:ilvl w:val="0"/>
          <w:numId w:val="1"/>
        </w:numPr>
      </w:pPr>
      <w:r>
        <w:t>(OPTIONAL) If you have configured output to “Xml” rather than “Html” then c</w:t>
      </w:r>
      <w:r w:rsidR="00CD3FAF">
        <w:t>opy the content of folders {BIN}\</w:t>
      </w:r>
      <w:proofErr w:type="spellStart"/>
      <w:r w:rsidR="00CD3FAF">
        <w:t>SECBuilder</w:t>
      </w:r>
      <w:proofErr w:type="spellEnd"/>
      <w:r w:rsidR="00CD3FAF">
        <w:t>\Resources to the corresponding folder on any web server used to convert the output</w:t>
      </w:r>
      <w:r w:rsidR="00AD7E35">
        <w:t xml:space="preserve"> files </w:t>
      </w:r>
      <w:r w:rsidR="00CD3FAF">
        <w:t>of the rendering engine (“R-Files”) into HTML.  The content of the “Resources” folde</w:t>
      </w:r>
      <w:r w:rsidR="008A7075">
        <w:t xml:space="preserve">rs are XSL and CSS style sheets and a </w:t>
      </w:r>
      <w:proofErr w:type="spellStart"/>
      <w:r w:rsidR="008A7075">
        <w:t>Javascript</w:t>
      </w:r>
      <w:proofErr w:type="spellEnd"/>
      <w:r w:rsidR="008A7075">
        <w:t xml:space="preserve"> file.</w:t>
      </w:r>
      <w:r>
        <w:t xml:space="preserve"> These files are identical for the Previewer and the Viewer.</w:t>
      </w:r>
    </w:p>
    <w:p w:rsidR="00AC4465" w:rsidRDefault="00D3579A" w:rsidP="00AC4465">
      <w:pPr>
        <w:pStyle w:val="Heading1"/>
        <w:jc w:val="both"/>
      </w:pPr>
      <w:r>
        <w:t xml:space="preserve">(OPTIONAL) </w:t>
      </w:r>
      <w:r w:rsidR="00AC4465">
        <w:t xml:space="preserve">Local Install of XBRL </w:t>
      </w:r>
      <w:r w:rsidR="00FC3A15">
        <w:t>Taxonomies</w:t>
      </w:r>
    </w:p>
    <w:p w:rsidR="00936E7F" w:rsidRPr="00367AE7" w:rsidRDefault="00936E7F" w:rsidP="00AC4465">
      <w:pPr>
        <w:rPr>
          <w:b/>
        </w:rPr>
      </w:pPr>
      <w:r w:rsidRPr="00367AE7">
        <w:rPr>
          <w:b/>
        </w:rPr>
        <w:t xml:space="preserve">There are no new taxonomies associated with the </w:t>
      </w:r>
      <w:r w:rsidR="00890DA2">
        <w:rPr>
          <w:b/>
        </w:rPr>
        <w:t>deployment</w:t>
      </w:r>
      <w:r w:rsidRPr="00367AE7">
        <w:rPr>
          <w:b/>
        </w:rPr>
        <w:t xml:space="preserve"> of </w:t>
      </w:r>
      <w:r w:rsidRPr="00405391">
        <w:rPr>
          <w:b/>
        </w:rPr>
        <w:t xml:space="preserve">rendering engine </w:t>
      </w:r>
      <w:fldSimple w:instr=" DOCPROPERTY  Version  \* MERGEFORMAT ">
        <w:r w:rsidR="00396FEF" w:rsidRPr="00396FEF">
          <w:rPr>
            <w:b/>
          </w:rPr>
          <w:t>2.3.0.11</w:t>
        </w:r>
      </w:fldSimple>
      <w:r w:rsidRPr="00405391">
        <w:rPr>
          <w:b/>
        </w:rPr>
        <w:t>.</w:t>
      </w:r>
    </w:p>
    <w:p w:rsidR="00AC4465" w:rsidRDefault="00AC4465" w:rsidP="00AC4465">
      <w:r>
        <w:t>In order to improve performance</w:t>
      </w:r>
      <w:r w:rsidR="00E160DD">
        <w:t xml:space="preserve"> and security</w:t>
      </w:r>
      <w:r>
        <w:t xml:space="preserve">, these steps will describe how to redirect any calls </w:t>
      </w:r>
      <w:r w:rsidR="00E160DD">
        <w:t>to external web servers</w:t>
      </w:r>
      <w:r>
        <w:t xml:space="preserve"> to a local directory</w:t>
      </w:r>
      <w:r w:rsidR="00F626BC">
        <w:t xml:space="preserve"> so that trips to XBRL.US are minimized.  </w:t>
      </w:r>
      <w:r w:rsidR="00E160DD">
        <w:t>The set of files that could be referenced by an EDGAR filling is in the file</w:t>
      </w:r>
    </w:p>
    <w:bookmarkStart w:id="0" w:name="OLE_LINK1"/>
    <w:bookmarkStart w:id="1" w:name="OLE_LINK2"/>
    <w:p w:rsidR="00E160DD" w:rsidRDefault="00063A39" w:rsidP="00AC4465">
      <w:r>
        <w:fldChar w:fldCharType="begin"/>
      </w:r>
      <w:r w:rsidR="00E160DD">
        <w:instrText xml:space="preserve"> HYPERLINK "http://www.sec.gov/info/edgar/edgartaxonomies.xml" </w:instrText>
      </w:r>
      <w:r>
        <w:fldChar w:fldCharType="separate"/>
      </w:r>
      <w:r w:rsidR="00E160DD" w:rsidRPr="009B2F69">
        <w:rPr>
          <w:rStyle w:val="Hyperlink"/>
        </w:rPr>
        <w:t>http://www.sec.gov/info/edgar/edgartaxonomies.xml</w:t>
      </w:r>
      <w:r>
        <w:fldChar w:fldCharType="end"/>
      </w:r>
    </w:p>
    <w:bookmarkEnd w:id="0"/>
    <w:bookmarkEnd w:id="1"/>
    <w:p w:rsidR="00E160DD" w:rsidRDefault="00E160DD" w:rsidP="00AC4465">
      <w:proofErr w:type="gramStart"/>
      <w:r>
        <w:t>which</w:t>
      </w:r>
      <w:proofErr w:type="gramEnd"/>
      <w:r>
        <w:t xml:space="preserve"> can be opened using excel; the HTML version of that page is at</w:t>
      </w:r>
    </w:p>
    <w:p w:rsidR="00E160DD" w:rsidRDefault="00063A39" w:rsidP="00AC4465">
      <w:hyperlink r:id="rId8" w:history="1">
        <w:r w:rsidR="00E160DD" w:rsidRPr="009B2F69">
          <w:rPr>
            <w:rStyle w:val="Hyperlink"/>
          </w:rPr>
          <w:t>http://www.sec.gov/info/edgar/edgartaxonomies.shtml</w:t>
        </w:r>
      </w:hyperlink>
      <w:r w:rsidR="00E160DD">
        <w:t xml:space="preserve"> </w:t>
      </w:r>
    </w:p>
    <w:p w:rsidR="00E160DD" w:rsidRDefault="00E160DD" w:rsidP="00AC4465">
      <w:r>
        <w:t>Steps for the US GAAP 2009 taxonomy are illustrative:</w:t>
      </w:r>
    </w:p>
    <w:p w:rsidR="00AC4465" w:rsidRDefault="00AC4465" w:rsidP="005A71D9">
      <w:pPr>
        <w:numPr>
          <w:ilvl w:val="0"/>
          <w:numId w:val="3"/>
        </w:numPr>
        <w:spacing w:line="240" w:lineRule="auto"/>
      </w:pPr>
      <w:r>
        <w:t xml:space="preserve">Go to </w:t>
      </w:r>
      <w:hyperlink r:id="rId9" w:history="1">
        <w:r w:rsidR="007C2838" w:rsidRPr="00D44860">
          <w:rPr>
            <w:rStyle w:val="Hyperlink"/>
          </w:rPr>
          <w:t>http://xbrl.us/taxonomies/Pages/US-GAAP2009.aspx</w:t>
        </w:r>
      </w:hyperlink>
    </w:p>
    <w:p w:rsidR="00AC4465" w:rsidRDefault="00AC4465" w:rsidP="005A71D9">
      <w:pPr>
        <w:numPr>
          <w:ilvl w:val="0"/>
          <w:numId w:val="3"/>
        </w:numPr>
        <w:spacing w:line="240" w:lineRule="auto"/>
      </w:pPr>
      <w:r>
        <w:t xml:space="preserve">Click on the </w:t>
      </w:r>
      <w:proofErr w:type="spellStart"/>
      <w:r>
        <w:t>the</w:t>
      </w:r>
      <w:proofErr w:type="spellEnd"/>
      <w:r>
        <w:t xml:space="preserve"> XBRL US Gaap Taxonomy </w:t>
      </w:r>
      <w:r w:rsidR="00961C61">
        <w:t>link</w:t>
      </w:r>
      <w:r w:rsidR="00172492">
        <w:t>.</w:t>
      </w:r>
    </w:p>
    <w:p w:rsidR="00AC4465" w:rsidRDefault="00AC4465" w:rsidP="005A71D9">
      <w:pPr>
        <w:numPr>
          <w:ilvl w:val="0"/>
          <w:numId w:val="3"/>
        </w:numPr>
        <w:spacing w:line="240" w:lineRule="auto"/>
      </w:pPr>
      <w:r>
        <w:t xml:space="preserve">Click on </w:t>
      </w:r>
      <w:r w:rsidR="00D44860">
        <w:t>the “All Taxonomies”</w:t>
      </w:r>
      <w:r>
        <w:t xml:space="preserve"> link </w:t>
      </w:r>
      <w:r w:rsidR="00D44860">
        <w:t xml:space="preserve">in the left panel </w:t>
      </w:r>
      <w:r>
        <w:t>to download the entire taxonomy</w:t>
      </w:r>
      <w:r w:rsidR="00172492">
        <w:t>.</w:t>
      </w:r>
    </w:p>
    <w:p w:rsidR="00AC4465" w:rsidRDefault="00AC4465" w:rsidP="005A71D9">
      <w:pPr>
        <w:numPr>
          <w:ilvl w:val="0"/>
          <w:numId w:val="3"/>
        </w:numPr>
        <w:spacing w:line="240" w:lineRule="auto"/>
      </w:pPr>
      <w:r>
        <w:lastRenderedPageBreak/>
        <w:t>Create a directory on the machine where the taxonomy will be stored called “</w:t>
      </w:r>
      <w:r w:rsidR="00F626BC">
        <w:t>taxonomies.</w:t>
      </w:r>
      <w:r>
        <w:t>xbrl.us”</w:t>
      </w:r>
      <w:r w:rsidR="00172492">
        <w:t>.</w:t>
      </w:r>
    </w:p>
    <w:p w:rsidR="00F626BC" w:rsidRDefault="00F626BC" w:rsidP="005A71D9">
      <w:pPr>
        <w:numPr>
          <w:ilvl w:val="0"/>
          <w:numId w:val="3"/>
        </w:numPr>
      </w:pPr>
      <w:r>
        <w:t>Create a directory called “us-gaap” and another one underneath it called “2009”.</w:t>
      </w:r>
    </w:p>
    <w:p w:rsidR="00AC4465" w:rsidRDefault="00AC4465" w:rsidP="005A71D9">
      <w:pPr>
        <w:numPr>
          <w:ilvl w:val="0"/>
          <w:numId w:val="3"/>
        </w:numPr>
      </w:pPr>
      <w:r>
        <w:t xml:space="preserve">Unzip the taxonomy to the </w:t>
      </w:r>
      <w:r w:rsidR="00F626BC">
        <w:t>“2009” folder</w:t>
      </w:r>
      <w:r>
        <w:t>.</w:t>
      </w:r>
    </w:p>
    <w:p w:rsidR="00172492" w:rsidRDefault="00AC4465" w:rsidP="005A71D9">
      <w:pPr>
        <w:numPr>
          <w:ilvl w:val="0"/>
          <w:numId w:val="3"/>
        </w:numPr>
      </w:pPr>
      <w:r>
        <w:t>Open Internet Information Services (IIS) which can be found under Control Panel/Administrative Tools.</w:t>
      </w:r>
    </w:p>
    <w:p w:rsidR="00AC4465" w:rsidRDefault="00172492" w:rsidP="00AC4465">
      <w:pPr>
        <w:numPr>
          <w:ilvl w:val="0"/>
          <w:numId w:val="3"/>
        </w:numPr>
      </w:pPr>
      <w:r>
        <w:t>Right click on “Default Web Site” and choose “New Virtual Directory.”</w:t>
      </w:r>
    </w:p>
    <w:p w:rsidR="00F13C78" w:rsidRDefault="00876983" w:rsidP="00F13C78">
      <w:pPr>
        <w:ind w:left="720"/>
      </w:pPr>
      <w:r>
        <w:rPr>
          <w:noProof/>
        </w:rPr>
        <w:drawing>
          <wp:inline distT="0" distB="0" distL="0" distR="0">
            <wp:extent cx="4762500" cy="3562350"/>
            <wp:effectExtent l="19050" t="0" r="0" b="0"/>
            <wp:docPr id="2" name="Picture 2" descr="SS-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2009"/>
                    <pic:cNvPicPr>
                      <a:picLocks noChangeAspect="1" noChangeArrowheads="1"/>
                    </pic:cNvPicPr>
                  </pic:nvPicPr>
                  <pic:blipFill>
                    <a:blip r:embed="rId10" cstate="print"/>
                    <a:srcRect/>
                    <a:stretch>
                      <a:fillRect/>
                    </a:stretch>
                  </pic:blipFill>
                  <pic:spPr bwMode="auto">
                    <a:xfrm>
                      <a:off x="0" y="0"/>
                      <a:ext cx="4762500" cy="3562350"/>
                    </a:xfrm>
                    <a:prstGeom prst="rect">
                      <a:avLst/>
                    </a:prstGeom>
                    <a:noFill/>
                    <a:ln w="9525">
                      <a:noFill/>
                      <a:miter lim="800000"/>
                      <a:headEnd/>
                      <a:tailEnd/>
                    </a:ln>
                  </pic:spPr>
                </pic:pic>
              </a:graphicData>
            </a:graphic>
          </wp:inline>
        </w:drawing>
      </w:r>
    </w:p>
    <w:p w:rsidR="00172492" w:rsidRDefault="00172492" w:rsidP="00AC4465">
      <w:pPr>
        <w:numPr>
          <w:ilvl w:val="0"/>
          <w:numId w:val="3"/>
        </w:numPr>
      </w:pPr>
      <w:r>
        <w:t>For Alias, enter US-GAAP.</w:t>
      </w:r>
    </w:p>
    <w:p w:rsidR="00F13C78" w:rsidRDefault="00876983" w:rsidP="00F13C78">
      <w:pPr>
        <w:ind w:left="720"/>
      </w:pPr>
      <w:r>
        <w:rPr>
          <w:noProof/>
        </w:rPr>
        <w:lastRenderedPageBreak/>
        <w:drawing>
          <wp:inline distT="0" distB="0" distL="0" distR="0">
            <wp:extent cx="3810000" cy="3000375"/>
            <wp:effectExtent l="19050" t="0" r="0" b="0"/>
            <wp:docPr id="3" name="Picture 3" descr="SS-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2009"/>
                    <pic:cNvPicPr>
                      <a:picLocks noChangeAspect="1" noChangeArrowheads="1"/>
                    </pic:cNvPicPr>
                  </pic:nvPicPr>
                  <pic:blipFill>
                    <a:blip r:embed="rId11" cstate="print"/>
                    <a:srcRect/>
                    <a:stretch>
                      <a:fillRect/>
                    </a:stretch>
                  </pic:blipFill>
                  <pic:spPr bwMode="auto">
                    <a:xfrm>
                      <a:off x="0" y="0"/>
                      <a:ext cx="3810000" cy="3000375"/>
                    </a:xfrm>
                    <a:prstGeom prst="rect">
                      <a:avLst/>
                    </a:prstGeom>
                    <a:noFill/>
                    <a:ln w="9525">
                      <a:noFill/>
                      <a:miter lim="800000"/>
                      <a:headEnd/>
                      <a:tailEnd/>
                    </a:ln>
                  </pic:spPr>
                </pic:pic>
              </a:graphicData>
            </a:graphic>
          </wp:inline>
        </w:drawing>
      </w:r>
    </w:p>
    <w:p w:rsidR="00172492" w:rsidRDefault="00172492" w:rsidP="00AC4465">
      <w:pPr>
        <w:numPr>
          <w:ilvl w:val="0"/>
          <w:numId w:val="3"/>
        </w:numPr>
      </w:pPr>
      <w:r>
        <w:t xml:space="preserve">For Directory, browse to </w:t>
      </w:r>
      <w:r w:rsidR="007B05AD">
        <w:t>taxonomies.xbrl.us\us-gaap</w:t>
      </w:r>
    </w:p>
    <w:p w:rsidR="00F13C78" w:rsidRDefault="00876983" w:rsidP="00F13C78">
      <w:pPr>
        <w:ind w:left="720"/>
      </w:pPr>
      <w:r>
        <w:rPr>
          <w:noProof/>
        </w:rPr>
        <w:drawing>
          <wp:inline distT="0" distB="0" distL="0" distR="0">
            <wp:extent cx="3810000" cy="3009900"/>
            <wp:effectExtent l="19050" t="0" r="0" b="0"/>
            <wp:docPr id="4" name="Picture 4" descr="SS-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2009"/>
                    <pic:cNvPicPr>
                      <a:picLocks noChangeAspect="1" noChangeArrowheads="1"/>
                    </pic:cNvPicPr>
                  </pic:nvPicPr>
                  <pic:blipFill>
                    <a:blip r:embed="rId12" cstate="print"/>
                    <a:srcRect/>
                    <a:stretch>
                      <a:fillRect/>
                    </a:stretch>
                  </pic:blipFill>
                  <pic:spPr bwMode="auto">
                    <a:xfrm>
                      <a:off x="0" y="0"/>
                      <a:ext cx="3810000" cy="3009900"/>
                    </a:xfrm>
                    <a:prstGeom prst="rect">
                      <a:avLst/>
                    </a:prstGeom>
                    <a:noFill/>
                    <a:ln w="9525">
                      <a:noFill/>
                      <a:miter lim="800000"/>
                      <a:headEnd/>
                      <a:tailEnd/>
                    </a:ln>
                  </pic:spPr>
                </pic:pic>
              </a:graphicData>
            </a:graphic>
          </wp:inline>
        </w:drawing>
      </w:r>
    </w:p>
    <w:p w:rsidR="00172492" w:rsidRDefault="00172492" w:rsidP="00AC4465">
      <w:pPr>
        <w:numPr>
          <w:ilvl w:val="0"/>
          <w:numId w:val="3"/>
        </w:numPr>
      </w:pPr>
      <w:r>
        <w:t>For Permissions, select “Read”, “Run Scripts”, and “Execute.”</w:t>
      </w:r>
    </w:p>
    <w:p w:rsidR="00F13C78" w:rsidRDefault="00876983" w:rsidP="00F13C78">
      <w:pPr>
        <w:ind w:left="720"/>
      </w:pPr>
      <w:r>
        <w:rPr>
          <w:noProof/>
        </w:rPr>
        <w:lastRenderedPageBreak/>
        <w:drawing>
          <wp:inline distT="0" distB="0" distL="0" distR="0">
            <wp:extent cx="3810000" cy="3038475"/>
            <wp:effectExtent l="19050" t="0" r="0" b="0"/>
            <wp:docPr id="5" name="Picture 5" descr="SS-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2009"/>
                    <pic:cNvPicPr>
                      <a:picLocks noChangeAspect="1" noChangeArrowheads="1"/>
                    </pic:cNvPicPr>
                  </pic:nvPicPr>
                  <pic:blipFill>
                    <a:blip r:embed="rId13" cstate="print"/>
                    <a:srcRect/>
                    <a:stretch>
                      <a:fillRect/>
                    </a:stretch>
                  </pic:blipFill>
                  <pic:spPr bwMode="auto">
                    <a:xfrm>
                      <a:off x="0" y="0"/>
                      <a:ext cx="3810000" cy="3038475"/>
                    </a:xfrm>
                    <a:prstGeom prst="rect">
                      <a:avLst/>
                    </a:prstGeom>
                    <a:noFill/>
                    <a:ln w="9525">
                      <a:noFill/>
                      <a:miter lim="800000"/>
                      <a:headEnd/>
                      <a:tailEnd/>
                    </a:ln>
                  </pic:spPr>
                </pic:pic>
              </a:graphicData>
            </a:graphic>
          </wp:inline>
        </w:drawing>
      </w:r>
    </w:p>
    <w:p w:rsidR="00F13C78" w:rsidRDefault="00F13C78" w:rsidP="00AC4465">
      <w:pPr>
        <w:numPr>
          <w:ilvl w:val="0"/>
          <w:numId w:val="3"/>
        </w:numPr>
      </w:pPr>
      <w:r>
        <w:t>End result</w:t>
      </w:r>
    </w:p>
    <w:p w:rsidR="00F13C78" w:rsidRDefault="00876983" w:rsidP="00F13C78">
      <w:pPr>
        <w:ind w:left="720"/>
      </w:pPr>
      <w:r>
        <w:rPr>
          <w:noProof/>
        </w:rPr>
        <w:drawing>
          <wp:inline distT="0" distB="0" distL="0" distR="0">
            <wp:extent cx="3810000" cy="2676525"/>
            <wp:effectExtent l="19050" t="0" r="0" b="0"/>
            <wp:docPr id="6" name="Picture 6" descr="SS-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2009"/>
                    <pic:cNvPicPr>
                      <a:picLocks noChangeAspect="1" noChangeArrowheads="1"/>
                    </pic:cNvPicPr>
                  </pic:nvPicPr>
                  <pic:blipFill>
                    <a:blip r:embed="rId14" cstate="print"/>
                    <a:srcRect/>
                    <a:stretch>
                      <a:fillRect/>
                    </a:stretch>
                  </pic:blipFill>
                  <pic:spPr bwMode="auto">
                    <a:xfrm>
                      <a:off x="0" y="0"/>
                      <a:ext cx="3810000" cy="2676525"/>
                    </a:xfrm>
                    <a:prstGeom prst="rect">
                      <a:avLst/>
                    </a:prstGeom>
                    <a:noFill/>
                    <a:ln w="9525">
                      <a:noFill/>
                      <a:miter lim="800000"/>
                      <a:headEnd/>
                      <a:tailEnd/>
                    </a:ln>
                  </pic:spPr>
                </pic:pic>
              </a:graphicData>
            </a:graphic>
          </wp:inline>
        </w:drawing>
      </w:r>
    </w:p>
    <w:p w:rsidR="00172492" w:rsidRDefault="00172492" w:rsidP="00AC4465">
      <w:pPr>
        <w:numPr>
          <w:ilvl w:val="0"/>
          <w:numId w:val="3"/>
        </w:numPr>
      </w:pPr>
      <w:r>
        <w:t xml:space="preserve">Open your hosts file found at </w:t>
      </w:r>
      <w:r w:rsidR="005A71D9" w:rsidRPr="005A71D9">
        <w:t>C:\WINDOWS\system32\drivers\etc</w:t>
      </w:r>
      <w:r w:rsidR="005A71D9">
        <w:t xml:space="preserve"> in notepad.  </w:t>
      </w:r>
    </w:p>
    <w:p w:rsidR="005A71D9" w:rsidRDefault="007B05AD" w:rsidP="00AC4465">
      <w:pPr>
        <w:numPr>
          <w:ilvl w:val="0"/>
          <w:numId w:val="3"/>
        </w:numPr>
      </w:pPr>
      <w:r>
        <w:t xml:space="preserve">You should see a local host entry </w:t>
      </w:r>
      <w:r w:rsidR="001A3D7F">
        <w:t xml:space="preserve">that looks like this: 127.0.0.1   </w:t>
      </w:r>
      <w:proofErr w:type="spellStart"/>
      <w:r w:rsidR="001A3D7F">
        <w:t>localhost</w:t>
      </w:r>
      <w:proofErr w:type="spellEnd"/>
      <w:r w:rsidR="001A3D7F">
        <w:t>.  Append “taxonomies.xbrl.us” to it so the end result is:</w:t>
      </w:r>
      <w:r w:rsidR="005A71D9">
        <w:t xml:space="preserve"> </w:t>
      </w:r>
      <w:r w:rsidR="005A71D9" w:rsidRPr="005A71D9">
        <w:t xml:space="preserve">127.0.0.1       </w:t>
      </w:r>
      <w:proofErr w:type="spellStart"/>
      <w:r w:rsidR="005A71D9" w:rsidRPr="005A71D9">
        <w:t>localhost</w:t>
      </w:r>
      <w:proofErr w:type="spellEnd"/>
      <w:r w:rsidR="005A71D9" w:rsidRPr="005A71D9">
        <w:t xml:space="preserve">  </w:t>
      </w:r>
      <w:r>
        <w:t>taxonomies.</w:t>
      </w:r>
      <w:r w:rsidR="005A71D9" w:rsidRPr="005A71D9">
        <w:t>xbrl.us</w:t>
      </w:r>
    </w:p>
    <w:p w:rsidR="00172492" w:rsidRDefault="00404F5B" w:rsidP="00AC4465">
      <w:pPr>
        <w:numPr>
          <w:ilvl w:val="0"/>
          <w:numId w:val="3"/>
        </w:numPr>
      </w:pPr>
      <w:r>
        <w:t>To test, o</w:t>
      </w:r>
      <w:r w:rsidR="00172492">
        <w:t xml:space="preserve">pen </w:t>
      </w:r>
      <w:r w:rsidR="007B05AD" w:rsidRPr="007B05AD">
        <w:t>C:\taxonomies.xbrl.us\us-gaap\2009\dis</w:t>
      </w:r>
      <w:r w:rsidR="007B05AD">
        <w:t>\</w:t>
      </w:r>
      <w:r w:rsidR="007B05AD" w:rsidRPr="007B05AD">
        <w:t>us-gaap-dis-acec-2009-01-31.xsd</w:t>
      </w:r>
      <w:r w:rsidR="005A71D9">
        <w:t xml:space="preserve"> </w:t>
      </w:r>
      <w:r w:rsidR="00172492">
        <w:t xml:space="preserve">in notepad and in the header area next to </w:t>
      </w:r>
      <w:r w:rsidR="00172492" w:rsidRPr="00172492">
        <w:t>Copyright (C)</w:t>
      </w:r>
      <w:r w:rsidR="00172492">
        <w:t xml:space="preserve">, insert the word “test”. </w:t>
      </w:r>
    </w:p>
    <w:p w:rsidR="00172492" w:rsidRDefault="00172492" w:rsidP="00AC4465">
      <w:pPr>
        <w:numPr>
          <w:ilvl w:val="0"/>
          <w:numId w:val="3"/>
        </w:numPr>
      </w:pPr>
      <w:r>
        <w:lastRenderedPageBreak/>
        <w:t xml:space="preserve">Open this same file in Internet Explorer by </w:t>
      </w:r>
      <w:r w:rsidR="005A71D9">
        <w:t xml:space="preserve">inputting this path </w:t>
      </w:r>
      <w:hyperlink r:id="rId15" w:history="1">
        <w:r w:rsidR="005A71D9" w:rsidRPr="00095804">
          <w:rPr>
            <w:rStyle w:val="Hyperlink"/>
          </w:rPr>
          <w:t>http://xbrl.us/us-gaap/1.0/dis/us-gaap-dis-acec-2008-03-31.xsd</w:t>
        </w:r>
      </w:hyperlink>
      <w:r w:rsidR="005A71D9">
        <w:t xml:space="preserve">.  You should see the word “test” that you typed in step 12. </w:t>
      </w:r>
    </w:p>
    <w:p w:rsidR="007B05AD" w:rsidRDefault="007B05AD" w:rsidP="00AC4465">
      <w:pPr>
        <w:numPr>
          <w:ilvl w:val="0"/>
          <w:numId w:val="3"/>
        </w:numPr>
      </w:pPr>
      <w:r>
        <w:t xml:space="preserve">If this does not work, restart IIS by going into IIS, clicking on the computer name and selecting Restart IIS from the Action/All tasks menu option.  </w:t>
      </w:r>
    </w:p>
    <w:p w:rsidR="007B05AD" w:rsidRDefault="007B05AD" w:rsidP="00AC4465">
      <w:pPr>
        <w:numPr>
          <w:ilvl w:val="0"/>
          <w:numId w:val="3"/>
        </w:numPr>
      </w:pPr>
      <w:r>
        <w:t>Repeat these steps for the RR taxonomy.  After adding the RR taxonomy, the result should look like this:</w:t>
      </w:r>
    </w:p>
    <w:p w:rsidR="007B05AD" w:rsidRDefault="00876983" w:rsidP="007B05AD">
      <w:pPr>
        <w:ind w:left="360"/>
      </w:pPr>
      <w:r>
        <w:rPr>
          <w:noProof/>
        </w:rPr>
        <w:drawing>
          <wp:inline distT="0" distB="0" distL="0" distR="0">
            <wp:extent cx="3810000" cy="2676525"/>
            <wp:effectExtent l="19050" t="0" r="0" b="0"/>
            <wp:docPr id="7" name="Picture 7" descr="SS-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2009"/>
                    <pic:cNvPicPr>
                      <a:picLocks noChangeAspect="1" noChangeArrowheads="1"/>
                    </pic:cNvPicPr>
                  </pic:nvPicPr>
                  <pic:blipFill>
                    <a:blip r:embed="rId16" cstate="print"/>
                    <a:srcRect/>
                    <a:stretch>
                      <a:fillRect/>
                    </a:stretch>
                  </pic:blipFill>
                  <pic:spPr bwMode="auto">
                    <a:xfrm>
                      <a:off x="0" y="0"/>
                      <a:ext cx="3810000" cy="2676525"/>
                    </a:xfrm>
                    <a:prstGeom prst="rect">
                      <a:avLst/>
                    </a:prstGeom>
                    <a:noFill/>
                    <a:ln w="9525">
                      <a:noFill/>
                      <a:miter lim="800000"/>
                      <a:headEnd/>
                      <a:tailEnd/>
                    </a:ln>
                  </pic:spPr>
                </pic:pic>
              </a:graphicData>
            </a:graphic>
          </wp:inline>
        </w:drawing>
      </w:r>
    </w:p>
    <w:p w:rsidR="005F69FD" w:rsidRPr="00756596" w:rsidRDefault="005F69FD" w:rsidP="005F69FD">
      <w:pPr>
        <w:pStyle w:val="Heading1"/>
        <w:rPr>
          <w:u w:val="single"/>
        </w:rPr>
      </w:pPr>
      <w:r>
        <w:rPr>
          <w:u w:val="single"/>
        </w:rPr>
        <w:t>Processing</w:t>
      </w:r>
      <w:r w:rsidRPr="00756596">
        <w:rPr>
          <w:u w:val="single"/>
        </w:rPr>
        <w:t xml:space="preserve"> Rules</w:t>
      </w:r>
    </w:p>
    <w:p w:rsidR="005A45CA" w:rsidRPr="005A45CA" w:rsidRDefault="00970541" w:rsidP="005A45CA">
      <w:pPr>
        <w:rPr>
          <w:b/>
        </w:rPr>
      </w:pPr>
      <w:r>
        <w:t xml:space="preserve">The ReportBuilder.rul </w:t>
      </w:r>
      <w:proofErr w:type="gramStart"/>
      <w:r>
        <w:t>file  found</w:t>
      </w:r>
      <w:proofErr w:type="gramEnd"/>
      <w:r w:rsidR="005F69FD">
        <w:t xml:space="preserve"> under the </w:t>
      </w:r>
      <w:proofErr w:type="spellStart"/>
      <w:r w:rsidR="005F69FD">
        <w:t>Rule</w:t>
      </w:r>
      <w:r w:rsidR="005A45CA">
        <w:t>_</w:t>
      </w:r>
      <w:r w:rsidR="005F69FD">
        <w:t>Files</w:t>
      </w:r>
      <w:proofErr w:type="spellEnd"/>
      <w:r w:rsidR="005F69FD">
        <w:t xml:space="preserve"> directory</w:t>
      </w:r>
      <w:r>
        <w:t xml:space="preserve"> for both the </w:t>
      </w:r>
      <w:r w:rsidR="005006DF">
        <w:t xml:space="preserve">preview and SEC builder engines controls what rules are applied to the layouts. </w:t>
      </w:r>
      <w:r w:rsidR="005A45CA">
        <w:rPr>
          <w:b/>
        </w:rPr>
        <w:t>Starting with</w:t>
      </w:r>
      <w:r w:rsidR="005A45CA" w:rsidRPr="005A45CA">
        <w:rPr>
          <w:b/>
        </w:rPr>
        <w:t xml:space="preserve"> Build 2.2.0.6, these files cannot be changed.  If you change them, the service will simply overwrite them with a fixed configuration identical to that used in previous versions of the rendering engine.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2"/>
        <w:gridCol w:w="7184"/>
      </w:tblGrid>
      <w:tr w:rsidR="005F69FD" w:rsidTr="00961C61">
        <w:tc>
          <w:tcPr>
            <w:tcW w:w="0" w:type="auto"/>
          </w:tcPr>
          <w:p w:rsidR="005F69FD" w:rsidRPr="005F69FD" w:rsidRDefault="005F69FD" w:rsidP="00961C61">
            <w:pPr>
              <w:keepNext/>
            </w:pPr>
            <w:proofErr w:type="spellStart"/>
            <w:r w:rsidRPr="005F69FD">
              <w:t>CleanupFlowthroughColumns</w:t>
            </w:r>
            <w:proofErr w:type="spellEnd"/>
          </w:p>
        </w:tc>
        <w:tc>
          <w:tcPr>
            <w:tcW w:w="0" w:type="auto"/>
          </w:tcPr>
          <w:p w:rsidR="005F69FD" w:rsidRPr="005F69FD" w:rsidRDefault="005F69FD" w:rsidP="00961C61">
            <w:pPr>
              <w:keepNext/>
            </w:pPr>
            <w:r w:rsidRPr="005F69FD">
              <w:t>Removes columns that contain only “flow-through” elements</w:t>
            </w:r>
          </w:p>
        </w:tc>
      </w:tr>
      <w:tr w:rsidR="005F69FD" w:rsidTr="00961C61">
        <w:tc>
          <w:tcPr>
            <w:tcW w:w="0" w:type="auto"/>
          </w:tcPr>
          <w:p w:rsidR="005F69FD" w:rsidRPr="005F69FD" w:rsidRDefault="005F69FD" w:rsidP="005F69FD">
            <w:proofErr w:type="spellStart"/>
            <w:r w:rsidRPr="005F69FD">
              <w:t>CleanupFlowThroughReports</w:t>
            </w:r>
            <w:proofErr w:type="spellEnd"/>
          </w:p>
        </w:tc>
        <w:tc>
          <w:tcPr>
            <w:tcW w:w="0" w:type="auto"/>
          </w:tcPr>
          <w:p w:rsidR="005F69FD" w:rsidRPr="005F69FD" w:rsidRDefault="005F69FD" w:rsidP="005F69FD">
            <w:r w:rsidRPr="005F69FD">
              <w:t>Removes reports that contain only “flow-through” elements.</w:t>
            </w:r>
          </w:p>
        </w:tc>
      </w:tr>
      <w:tr w:rsidR="005F69FD" w:rsidTr="00961C61">
        <w:tc>
          <w:tcPr>
            <w:tcW w:w="0" w:type="auto"/>
          </w:tcPr>
          <w:p w:rsidR="005F69FD" w:rsidRPr="005F69FD" w:rsidRDefault="005F69FD" w:rsidP="005F69FD">
            <w:proofErr w:type="spellStart"/>
            <w:r w:rsidRPr="005F69FD">
              <w:t>InstantAndDuration</w:t>
            </w:r>
            <w:proofErr w:type="spellEnd"/>
          </w:p>
        </w:tc>
        <w:tc>
          <w:tcPr>
            <w:tcW w:w="0" w:type="auto"/>
          </w:tcPr>
          <w:p w:rsidR="005F69FD" w:rsidRPr="005F69FD" w:rsidRDefault="005F69FD" w:rsidP="005F69FD">
            <w:r w:rsidRPr="005F69FD">
              <w:t>Merges columns that contain instant and duration where the duration end date matches the instance date.</w:t>
            </w:r>
          </w:p>
        </w:tc>
      </w:tr>
      <w:tr w:rsidR="005F69FD" w:rsidTr="00961C61">
        <w:tc>
          <w:tcPr>
            <w:tcW w:w="0" w:type="auto"/>
          </w:tcPr>
          <w:p w:rsidR="005F69FD" w:rsidRPr="005F69FD" w:rsidRDefault="005F69FD" w:rsidP="005F69FD">
            <w:proofErr w:type="spellStart"/>
            <w:r w:rsidRPr="005F69FD">
              <w:t>PreferredLang</w:t>
            </w:r>
            <w:proofErr w:type="spellEnd"/>
          </w:p>
        </w:tc>
        <w:tc>
          <w:tcPr>
            <w:tcW w:w="0" w:type="auto"/>
          </w:tcPr>
          <w:p w:rsidR="005F69FD" w:rsidRPr="005F69FD" w:rsidRDefault="005F69FD" w:rsidP="005F69FD">
            <w:r>
              <w:t>P</w:t>
            </w:r>
            <w:r w:rsidRPr="005F69FD">
              <w:t>arses the supported languages in the taxonomy looking for en-us.  If that language is found, then it</w:t>
            </w:r>
            <w:r>
              <w:t xml:space="preserve"> </w:t>
            </w:r>
            <w:r w:rsidRPr="005F69FD">
              <w:t>is set as the default language for the report.  Otherwise the first supported language in the taxonomy is used.</w:t>
            </w:r>
          </w:p>
        </w:tc>
      </w:tr>
      <w:tr w:rsidR="005F69FD" w:rsidTr="00961C61">
        <w:tc>
          <w:tcPr>
            <w:tcW w:w="0" w:type="auto"/>
          </w:tcPr>
          <w:p w:rsidR="005F69FD" w:rsidRPr="005F69FD" w:rsidRDefault="005F69FD" w:rsidP="005F69FD">
            <w:proofErr w:type="spellStart"/>
            <w:r w:rsidRPr="005F69FD">
              <w:t>ProcessBeginningEndingBalance</w:t>
            </w:r>
            <w:proofErr w:type="spellEnd"/>
          </w:p>
        </w:tc>
        <w:tc>
          <w:tcPr>
            <w:tcW w:w="0" w:type="auto"/>
          </w:tcPr>
          <w:p w:rsidR="005F69FD" w:rsidRPr="005F69FD" w:rsidRDefault="005F69FD" w:rsidP="005F69FD">
            <w:r>
              <w:t>In situations where beginning and ending balances are present, this logic will place the ending</w:t>
            </w:r>
            <w:r w:rsidR="00805EA4">
              <w:t>\beginning</w:t>
            </w:r>
            <w:r>
              <w:t xml:space="preserve"> balance amount </w:t>
            </w:r>
            <w:r w:rsidR="00805EA4">
              <w:t xml:space="preserve">on the correct row rather than </w:t>
            </w:r>
            <w:r w:rsidR="00805EA4">
              <w:lastRenderedPageBreak/>
              <w:t>adding it to a separate column.</w:t>
            </w:r>
          </w:p>
        </w:tc>
      </w:tr>
      <w:tr w:rsidR="005F69FD" w:rsidTr="00961C61">
        <w:tc>
          <w:tcPr>
            <w:tcW w:w="0" w:type="auto"/>
          </w:tcPr>
          <w:p w:rsidR="005F69FD" w:rsidRPr="005F69FD" w:rsidRDefault="005F69FD" w:rsidP="005F69FD">
            <w:proofErr w:type="spellStart"/>
            <w:r w:rsidRPr="005F69FD">
              <w:lastRenderedPageBreak/>
              <w:t>PromoteSharedLabels</w:t>
            </w:r>
            <w:proofErr w:type="spellEnd"/>
          </w:p>
        </w:tc>
        <w:tc>
          <w:tcPr>
            <w:tcW w:w="0" w:type="auto"/>
          </w:tcPr>
          <w:p w:rsidR="005F69FD" w:rsidRPr="005F69FD" w:rsidRDefault="005F69FD" w:rsidP="005F69FD">
            <w:r w:rsidRPr="005F69FD">
              <w:t>Labels that are used for every item in the column are promoted to the column header.  Labels that are used in every item in the report are promoted to the report header.</w:t>
            </w:r>
          </w:p>
        </w:tc>
      </w:tr>
      <w:tr w:rsidR="005F69FD" w:rsidTr="00961C61">
        <w:tc>
          <w:tcPr>
            <w:tcW w:w="0" w:type="auto"/>
          </w:tcPr>
          <w:p w:rsidR="005F69FD" w:rsidRPr="005F69FD" w:rsidRDefault="005F69FD" w:rsidP="005F69FD">
            <w:r w:rsidRPr="005F69FD">
              <w:t>Rounding</w:t>
            </w:r>
          </w:p>
        </w:tc>
        <w:tc>
          <w:tcPr>
            <w:tcW w:w="0" w:type="auto"/>
          </w:tcPr>
          <w:p w:rsidR="005F69FD" w:rsidRPr="005F69FD" w:rsidRDefault="005F69FD" w:rsidP="005F69FD">
            <w:r w:rsidRPr="005F69FD">
              <w:t>Apply rounding to the report according to the decimal settings used in the filing.</w:t>
            </w:r>
          </w:p>
        </w:tc>
      </w:tr>
      <w:tr w:rsidR="005F69FD" w:rsidTr="00961C61">
        <w:tc>
          <w:tcPr>
            <w:tcW w:w="0" w:type="auto"/>
          </w:tcPr>
          <w:p w:rsidR="005F69FD" w:rsidRPr="005F69FD" w:rsidRDefault="005F69FD" w:rsidP="005F69FD">
            <w:r w:rsidRPr="005F69FD">
              <w:t>Segments</w:t>
            </w:r>
          </w:p>
        </w:tc>
        <w:tc>
          <w:tcPr>
            <w:tcW w:w="0" w:type="auto"/>
          </w:tcPr>
          <w:p w:rsidR="00805EA4" w:rsidRPr="00805EA4" w:rsidRDefault="00805EA4" w:rsidP="00805EA4">
            <w:r>
              <w:t>P</w:t>
            </w:r>
            <w:r w:rsidRPr="00805EA4">
              <w:t>arses the data in a Report to determine if there is Segmented data that can be displayed in a vertical format.</w:t>
            </w:r>
          </w:p>
          <w:p w:rsidR="00805EA4" w:rsidRPr="00805EA4" w:rsidRDefault="00805EA4" w:rsidP="00805EA4">
            <w:r w:rsidRPr="00805EA4">
              <w:t>There are two conditions that could result in data being displayed this way.</w:t>
            </w:r>
          </w:p>
          <w:p w:rsidR="00805EA4" w:rsidRPr="00805EA4" w:rsidRDefault="00805EA4" w:rsidP="00805EA4">
            <w:r w:rsidRPr="00805EA4">
              <w:t>1.  The Report contains Consolidated and the reporting periods for that data covers all of the</w:t>
            </w:r>
            <w:r>
              <w:t xml:space="preserve"> </w:t>
            </w:r>
            <w:r w:rsidRPr="00805EA4">
              <w:t>reporting periods for each of the Segmented data sets.</w:t>
            </w:r>
          </w:p>
          <w:p w:rsidR="005F69FD" w:rsidRPr="005F69FD" w:rsidRDefault="00805EA4" w:rsidP="00805EA4">
            <w:r w:rsidRPr="00805EA4">
              <w:t>2.</w:t>
            </w:r>
            <w:r w:rsidRPr="00805EA4">
              <w:tab/>
              <w:t>The Report does not contain Consolidated data, but one of the Segmented data sets contains</w:t>
            </w:r>
            <w:r>
              <w:t xml:space="preserve"> </w:t>
            </w:r>
            <w:r w:rsidRPr="00805EA4">
              <w:t>reporting periods that cover all of the reporting periods for the remaining Segmented data sets.</w:t>
            </w:r>
          </w:p>
        </w:tc>
      </w:tr>
      <w:tr w:rsidR="005F69FD" w:rsidTr="00961C61">
        <w:tc>
          <w:tcPr>
            <w:tcW w:w="0" w:type="auto"/>
          </w:tcPr>
          <w:p w:rsidR="005F69FD" w:rsidRPr="005F69FD" w:rsidRDefault="005F69FD" w:rsidP="005F69FD">
            <w:proofErr w:type="spellStart"/>
            <w:r w:rsidRPr="005F69FD">
              <w:t>ColumnHeaders</w:t>
            </w:r>
            <w:proofErr w:type="spellEnd"/>
          </w:p>
        </w:tc>
        <w:tc>
          <w:tcPr>
            <w:tcW w:w="0" w:type="auto"/>
          </w:tcPr>
          <w:p w:rsidR="005F69FD" w:rsidRPr="005F69FD" w:rsidRDefault="00805EA4" w:rsidP="00805EA4">
            <w:r>
              <w:t>L</w:t>
            </w:r>
            <w:r w:rsidRPr="00805EA4">
              <w:t xml:space="preserve">oops through all of the columns on a Report and formats the header labels using the formats provided in </w:t>
            </w:r>
            <w:r>
              <w:t xml:space="preserve">the ColumnHeaders.xml file.  </w:t>
            </w:r>
          </w:p>
        </w:tc>
      </w:tr>
      <w:tr w:rsidR="005F69FD" w:rsidTr="00961C61">
        <w:tc>
          <w:tcPr>
            <w:tcW w:w="0" w:type="auto"/>
          </w:tcPr>
          <w:p w:rsidR="005F69FD" w:rsidRPr="005F69FD" w:rsidRDefault="005F69FD" w:rsidP="005F69FD">
            <w:proofErr w:type="spellStart"/>
            <w:r w:rsidRPr="005F69FD">
              <w:t>EquityStatement</w:t>
            </w:r>
            <w:proofErr w:type="spellEnd"/>
          </w:p>
        </w:tc>
        <w:tc>
          <w:tcPr>
            <w:tcW w:w="0" w:type="auto"/>
          </w:tcPr>
          <w:p w:rsidR="005F69FD" w:rsidRPr="005F69FD" w:rsidRDefault="00805EA4" w:rsidP="00805EA4">
            <w:r w:rsidRPr="00805EA4">
              <w:t>Parses the Columns in an Equity Statement to determine the reporting periods used by the report, and shift the reporting periods to rows on the grid.  Then the complete set of elements is repeated for each reporting period leaving only segments on the column.</w:t>
            </w:r>
          </w:p>
        </w:tc>
      </w:tr>
      <w:tr w:rsidR="005F69FD" w:rsidTr="00961C61">
        <w:tc>
          <w:tcPr>
            <w:tcW w:w="0" w:type="auto"/>
          </w:tcPr>
          <w:p w:rsidR="005F69FD" w:rsidRPr="005F69FD" w:rsidRDefault="005F69FD" w:rsidP="005F69FD">
            <w:proofErr w:type="spellStart"/>
            <w:r w:rsidRPr="005F69FD">
              <w:t>TotalLabel</w:t>
            </w:r>
            <w:proofErr w:type="spellEnd"/>
          </w:p>
        </w:tc>
        <w:tc>
          <w:tcPr>
            <w:tcW w:w="0" w:type="auto"/>
          </w:tcPr>
          <w:p w:rsidR="005F69FD" w:rsidRPr="005F69FD" w:rsidRDefault="005F69FD" w:rsidP="005F69FD">
            <w:r w:rsidRPr="005F69FD">
              <w:t xml:space="preserve">If the preferred label for the element is </w:t>
            </w:r>
            <w:proofErr w:type="spellStart"/>
            <w:r w:rsidRPr="005F69FD">
              <w:t>totalLabel</w:t>
            </w:r>
            <w:proofErr w:type="spellEnd"/>
            <w:r w:rsidRPr="005F69FD">
              <w:t>, then place an underline under each number on the row.</w:t>
            </w:r>
          </w:p>
        </w:tc>
      </w:tr>
      <w:tr w:rsidR="005F69FD" w:rsidTr="00961C61">
        <w:tc>
          <w:tcPr>
            <w:tcW w:w="0" w:type="auto"/>
          </w:tcPr>
          <w:p w:rsidR="005F69FD" w:rsidRPr="005F69FD" w:rsidRDefault="005F69FD" w:rsidP="005F69FD">
            <w:proofErr w:type="spellStart"/>
            <w:r w:rsidRPr="005F69FD">
              <w:t>CurrencySymbol</w:t>
            </w:r>
            <w:proofErr w:type="spellEnd"/>
          </w:p>
        </w:tc>
        <w:tc>
          <w:tcPr>
            <w:tcW w:w="0" w:type="auto"/>
          </w:tcPr>
          <w:p w:rsidR="005F69FD" w:rsidRPr="005F69FD" w:rsidRDefault="005F69FD" w:rsidP="006F7D88">
            <w:r w:rsidRPr="005F69FD">
              <w:t>Place the currency symbol on the first and last monetary elements in the report.</w:t>
            </w:r>
            <w:r w:rsidR="00140EFB">
              <w:t xml:space="preserve">  </w:t>
            </w:r>
          </w:p>
        </w:tc>
      </w:tr>
      <w:tr w:rsidR="005F69FD" w:rsidTr="00961C61">
        <w:tc>
          <w:tcPr>
            <w:tcW w:w="0" w:type="auto"/>
          </w:tcPr>
          <w:p w:rsidR="005F69FD" w:rsidRPr="005F69FD" w:rsidRDefault="005F69FD" w:rsidP="005F69FD">
            <w:proofErr w:type="spellStart"/>
            <w:r w:rsidRPr="005F69FD">
              <w:t>AbstractHeader</w:t>
            </w:r>
            <w:proofErr w:type="spellEnd"/>
          </w:p>
        </w:tc>
        <w:tc>
          <w:tcPr>
            <w:tcW w:w="0" w:type="auto"/>
          </w:tcPr>
          <w:p w:rsidR="005F69FD" w:rsidRPr="005F69FD" w:rsidRDefault="005F69FD" w:rsidP="005F69FD">
            <w:r w:rsidRPr="005F69FD">
              <w:t>Include the preceding abstract from the presentation hierarchy.</w:t>
            </w:r>
          </w:p>
        </w:tc>
      </w:tr>
      <w:tr w:rsidR="005F69FD" w:rsidTr="00961C61">
        <w:tc>
          <w:tcPr>
            <w:tcW w:w="0" w:type="auto"/>
          </w:tcPr>
          <w:p w:rsidR="005F69FD" w:rsidRPr="005F69FD" w:rsidRDefault="005F69FD" w:rsidP="005F69FD">
            <w:proofErr w:type="spellStart"/>
            <w:r w:rsidRPr="005F69FD">
              <w:t>GenerateExcelFiles</w:t>
            </w:r>
            <w:proofErr w:type="spellEnd"/>
          </w:p>
        </w:tc>
        <w:tc>
          <w:tcPr>
            <w:tcW w:w="0" w:type="auto"/>
          </w:tcPr>
          <w:p w:rsidR="005F69FD" w:rsidRPr="005F69FD" w:rsidRDefault="005F69FD" w:rsidP="005F69FD">
            <w:r w:rsidRPr="005F69FD">
              <w:t>Produce an excel file representation of what is shown in the viewer.</w:t>
            </w:r>
            <w:r w:rsidR="008A734B">
              <w:t xml:space="preserve">  Be advised that this will negatively impact performance.</w:t>
            </w:r>
          </w:p>
        </w:tc>
      </w:tr>
      <w:tr w:rsidR="005F69FD" w:rsidTr="00961C61">
        <w:tc>
          <w:tcPr>
            <w:tcW w:w="0" w:type="auto"/>
          </w:tcPr>
          <w:p w:rsidR="005F69FD" w:rsidRPr="005F69FD" w:rsidRDefault="005F69FD" w:rsidP="005F69FD">
            <w:proofErr w:type="spellStart"/>
            <w:r w:rsidRPr="005F69FD">
              <w:t>GenerateRedlineComparisonFile</w:t>
            </w:r>
            <w:proofErr w:type="spellEnd"/>
          </w:p>
        </w:tc>
        <w:tc>
          <w:tcPr>
            <w:tcW w:w="0" w:type="auto"/>
          </w:tcPr>
          <w:p w:rsidR="005F69FD" w:rsidRPr="005F69FD" w:rsidRDefault="00961C61" w:rsidP="005F69FD">
            <w:r>
              <w:t>N/A</w:t>
            </w:r>
          </w:p>
        </w:tc>
      </w:tr>
      <w:tr w:rsidR="003A19E2" w:rsidTr="00961C61">
        <w:tc>
          <w:tcPr>
            <w:tcW w:w="0" w:type="auto"/>
          </w:tcPr>
          <w:p w:rsidR="003A19E2" w:rsidRPr="005F69FD" w:rsidRDefault="003A19E2" w:rsidP="005F69FD">
            <w:proofErr w:type="spellStart"/>
            <w:r w:rsidRPr="00970541">
              <w:t>ProcessCompleteReports</w:t>
            </w:r>
            <w:proofErr w:type="spellEnd"/>
          </w:p>
        </w:tc>
        <w:tc>
          <w:tcPr>
            <w:tcW w:w="0" w:type="auto"/>
          </w:tcPr>
          <w:p w:rsidR="003A19E2" w:rsidRPr="005F69FD" w:rsidRDefault="00961C61" w:rsidP="005F69FD">
            <w:r>
              <w:t>N/A</w:t>
            </w:r>
          </w:p>
        </w:tc>
      </w:tr>
      <w:tr w:rsidR="003A19E2" w:rsidTr="00961C61">
        <w:tc>
          <w:tcPr>
            <w:tcW w:w="0" w:type="auto"/>
          </w:tcPr>
          <w:p w:rsidR="003A19E2" w:rsidRPr="00970541" w:rsidRDefault="003A19E2" w:rsidP="005F69FD">
            <w:proofErr w:type="spellStart"/>
            <w:r w:rsidRPr="00970541">
              <w:t>RemoveLabelColumn</w:t>
            </w:r>
            <w:proofErr w:type="spellEnd"/>
          </w:p>
        </w:tc>
        <w:tc>
          <w:tcPr>
            <w:tcW w:w="0" w:type="auto"/>
          </w:tcPr>
          <w:p w:rsidR="003A19E2" w:rsidRPr="005F69FD" w:rsidRDefault="003A19E2" w:rsidP="003A19E2">
            <w:r>
              <w:t>Label column is removed if set to true.  This is used for the RR filings.</w:t>
            </w:r>
          </w:p>
        </w:tc>
      </w:tr>
      <w:tr w:rsidR="003A19E2" w:rsidTr="00961C61">
        <w:tc>
          <w:tcPr>
            <w:tcW w:w="0" w:type="auto"/>
          </w:tcPr>
          <w:p w:rsidR="003A19E2" w:rsidRPr="00970541" w:rsidRDefault="003A19E2" w:rsidP="005F69FD">
            <w:proofErr w:type="spellStart"/>
            <w:r w:rsidRPr="00970541">
              <w:lastRenderedPageBreak/>
              <w:t>ProcessEmbeddedReports</w:t>
            </w:r>
            <w:proofErr w:type="spellEnd"/>
          </w:p>
        </w:tc>
        <w:tc>
          <w:tcPr>
            <w:tcW w:w="0" w:type="auto"/>
          </w:tcPr>
          <w:p w:rsidR="003A19E2" w:rsidRPr="005F69FD" w:rsidRDefault="003A19E2" w:rsidP="005F69FD">
            <w:r>
              <w:t xml:space="preserve">When set to true, the engine will search for instructions that begin with </w:t>
            </w:r>
            <w:r w:rsidR="00DA1C0B">
              <w:t>“~” which provides instructions on which reports are to be embedded. This is used for the RR filings.</w:t>
            </w:r>
          </w:p>
        </w:tc>
      </w:tr>
      <w:tr w:rsidR="00AE3DC2" w:rsidTr="00961C61">
        <w:tc>
          <w:tcPr>
            <w:tcW w:w="0" w:type="auto"/>
          </w:tcPr>
          <w:p w:rsidR="00AE3DC2" w:rsidRPr="00970541" w:rsidRDefault="00AE3DC2" w:rsidP="005F69FD">
            <w:proofErr w:type="spellStart"/>
            <w:r w:rsidRPr="00AE3DC2">
              <w:t>DisplayDateInUSFormat</w:t>
            </w:r>
            <w:proofErr w:type="spellEnd"/>
          </w:p>
        </w:tc>
        <w:tc>
          <w:tcPr>
            <w:tcW w:w="0" w:type="auto"/>
          </w:tcPr>
          <w:p w:rsidR="00AE3DC2" w:rsidRDefault="00AE3DC2" w:rsidP="005F69FD">
            <w:r>
              <w:t>Displays dates as MMM DD, YYYY when set to true otherwise YYYY-MM-DD</w:t>
            </w:r>
          </w:p>
        </w:tc>
      </w:tr>
      <w:tr w:rsidR="00AE3DC2" w:rsidTr="00961C61">
        <w:tc>
          <w:tcPr>
            <w:tcW w:w="0" w:type="auto"/>
          </w:tcPr>
          <w:p w:rsidR="00AE3DC2" w:rsidRPr="00AE3DC2" w:rsidRDefault="00AE3DC2" w:rsidP="005F69FD">
            <w:proofErr w:type="spellStart"/>
            <w:r w:rsidRPr="00AE3DC2">
              <w:t>DisplayAsRatio</w:t>
            </w:r>
            <w:proofErr w:type="spellEnd"/>
          </w:p>
        </w:tc>
        <w:tc>
          <w:tcPr>
            <w:tcW w:w="0" w:type="auto"/>
          </w:tcPr>
          <w:p w:rsidR="00AE3DC2" w:rsidRDefault="00EB7718" w:rsidP="005F69FD">
            <w:r>
              <w:t>Displays values that are used with ratio elements as ratios.</w:t>
            </w:r>
          </w:p>
        </w:tc>
      </w:tr>
      <w:tr w:rsidR="00AE3DC2" w:rsidTr="00961C61">
        <w:tc>
          <w:tcPr>
            <w:tcW w:w="0" w:type="auto"/>
          </w:tcPr>
          <w:p w:rsidR="00AE3DC2" w:rsidRPr="00AE3DC2" w:rsidRDefault="00AE3DC2" w:rsidP="005F69FD">
            <w:proofErr w:type="spellStart"/>
            <w:r>
              <w:t>DisplayZeroAsNone</w:t>
            </w:r>
            <w:proofErr w:type="spellEnd"/>
          </w:p>
        </w:tc>
        <w:tc>
          <w:tcPr>
            <w:tcW w:w="0" w:type="auto"/>
          </w:tcPr>
          <w:p w:rsidR="00AE3DC2" w:rsidRDefault="00EB7718" w:rsidP="005F69FD">
            <w:r>
              <w:t>Displays “none” instead of “0” for certain elements</w:t>
            </w:r>
          </w:p>
        </w:tc>
      </w:tr>
    </w:tbl>
    <w:p w:rsidR="005F69FD" w:rsidRDefault="005F69FD" w:rsidP="00A74A7A">
      <w:pPr>
        <w:pStyle w:val="ListParagraph"/>
        <w:ind w:left="1440"/>
      </w:pPr>
    </w:p>
    <w:p w:rsidR="00970541" w:rsidRDefault="00970541" w:rsidP="00706103"/>
    <w:p w:rsidR="00970541" w:rsidRPr="00706103" w:rsidRDefault="00970541" w:rsidP="00706103"/>
    <w:sectPr w:rsidR="00970541" w:rsidRPr="00706103" w:rsidSect="00EB7718">
      <w:headerReference w:type="even" r:id="rId17"/>
      <w:headerReference w:type="default" r:id="rId18"/>
      <w:footerReference w:type="even" r:id="rId19"/>
      <w:footerReference w:type="default" r:id="rId20"/>
      <w:headerReference w:type="first" r:id="rId21"/>
      <w:footerReference w:type="first" r:id="rId22"/>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3F8" w:rsidRDefault="006733F8" w:rsidP="00EB7718">
      <w:pPr>
        <w:spacing w:after="0" w:line="240" w:lineRule="auto"/>
      </w:pPr>
      <w:r>
        <w:separator/>
      </w:r>
    </w:p>
  </w:endnote>
  <w:endnote w:type="continuationSeparator" w:id="0">
    <w:p w:rsidR="006733F8" w:rsidRDefault="006733F8" w:rsidP="00EB77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5DA" w:rsidRDefault="00D635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5DA" w:rsidRDefault="00063A39">
    <w:pPr>
      <w:pStyle w:val="Footer"/>
    </w:pPr>
    <w:fldSimple w:instr=" PAGE   \* MERGEFORMAT ">
      <w:r w:rsidR="00396FEF">
        <w:rPr>
          <w:noProof/>
        </w:rPr>
        <w:t>3</w:t>
      </w:r>
    </w:fldSimple>
  </w:p>
  <w:p w:rsidR="00D635DA" w:rsidRDefault="00D635D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5DA" w:rsidRDefault="00D635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3F8" w:rsidRDefault="006733F8" w:rsidP="00EB7718">
      <w:pPr>
        <w:spacing w:after="0" w:line="240" w:lineRule="auto"/>
      </w:pPr>
      <w:r>
        <w:separator/>
      </w:r>
    </w:p>
  </w:footnote>
  <w:footnote w:type="continuationSeparator" w:id="0">
    <w:p w:rsidR="006733F8" w:rsidRDefault="006733F8" w:rsidP="00EB77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5DA" w:rsidRDefault="00D635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5DA" w:rsidRDefault="00D635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5DA" w:rsidRDefault="00D635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C000B"/>
    <w:multiLevelType w:val="hybridMultilevel"/>
    <w:tmpl w:val="C60E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75441"/>
    <w:multiLevelType w:val="hybridMultilevel"/>
    <w:tmpl w:val="1D2C7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845639"/>
    <w:multiLevelType w:val="hybridMultilevel"/>
    <w:tmpl w:val="AB4AA23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CA2E6A"/>
    <w:rsid w:val="0005191C"/>
    <w:rsid w:val="00054117"/>
    <w:rsid w:val="00063A39"/>
    <w:rsid w:val="00071083"/>
    <w:rsid w:val="000A6279"/>
    <w:rsid w:val="000B663B"/>
    <w:rsid w:val="00111402"/>
    <w:rsid w:val="00114B3F"/>
    <w:rsid w:val="0012089B"/>
    <w:rsid w:val="00131E2A"/>
    <w:rsid w:val="00140EFB"/>
    <w:rsid w:val="001652EF"/>
    <w:rsid w:val="00172492"/>
    <w:rsid w:val="001A3D7F"/>
    <w:rsid w:val="001B23D0"/>
    <w:rsid w:val="00210F65"/>
    <w:rsid w:val="00226655"/>
    <w:rsid w:val="00247B7F"/>
    <w:rsid w:val="00263148"/>
    <w:rsid w:val="00264E95"/>
    <w:rsid w:val="002B0AB0"/>
    <w:rsid w:val="002F135F"/>
    <w:rsid w:val="00354600"/>
    <w:rsid w:val="00367AE7"/>
    <w:rsid w:val="00396FEF"/>
    <w:rsid w:val="003A19E2"/>
    <w:rsid w:val="003A33B2"/>
    <w:rsid w:val="003B5FB9"/>
    <w:rsid w:val="003B7689"/>
    <w:rsid w:val="003C6BC0"/>
    <w:rsid w:val="003F785B"/>
    <w:rsid w:val="00404F5B"/>
    <w:rsid w:val="00405391"/>
    <w:rsid w:val="0042725A"/>
    <w:rsid w:val="004810AD"/>
    <w:rsid w:val="005006DF"/>
    <w:rsid w:val="00504BA4"/>
    <w:rsid w:val="00505B0A"/>
    <w:rsid w:val="00505EAF"/>
    <w:rsid w:val="00573983"/>
    <w:rsid w:val="00573ECB"/>
    <w:rsid w:val="005A45CA"/>
    <w:rsid w:val="005A71D9"/>
    <w:rsid w:val="005D2454"/>
    <w:rsid w:val="005E7F68"/>
    <w:rsid w:val="005F69FD"/>
    <w:rsid w:val="00610219"/>
    <w:rsid w:val="0061503A"/>
    <w:rsid w:val="0064276C"/>
    <w:rsid w:val="00643B90"/>
    <w:rsid w:val="006733F8"/>
    <w:rsid w:val="006F7D88"/>
    <w:rsid w:val="00706103"/>
    <w:rsid w:val="00721239"/>
    <w:rsid w:val="00722AF7"/>
    <w:rsid w:val="0072358B"/>
    <w:rsid w:val="007B05AD"/>
    <w:rsid w:val="007C2838"/>
    <w:rsid w:val="007C6E8E"/>
    <w:rsid w:val="00805EA4"/>
    <w:rsid w:val="00844510"/>
    <w:rsid w:val="00876983"/>
    <w:rsid w:val="00890DA2"/>
    <w:rsid w:val="008A7075"/>
    <w:rsid w:val="008A734B"/>
    <w:rsid w:val="0091428B"/>
    <w:rsid w:val="00915D45"/>
    <w:rsid w:val="0093361E"/>
    <w:rsid w:val="009367C5"/>
    <w:rsid w:val="00936E7F"/>
    <w:rsid w:val="00961C61"/>
    <w:rsid w:val="00970541"/>
    <w:rsid w:val="00977913"/>
    <w:rsid w:val="00984C13"/>
    <w:rsid w:val="009C23F5"/>
    <w:rsid w:val="009C7FAD"/>
    <w:rsid w:val="009E3137"/>
    <w:rsid w:val="00A45680"/>
    <w:rsid w:val="00A675FB"/>
    <w:rsid w:val="00A74A7A"/>
    <w:rsid w:val="00A81748"/>
    <w:rsid w:val="00AA244D"/>
    <w:rsid w:val="00AC4465"/>
    <w:rsid w:val="00AD7E35"/>
    <w:rsid w:val="00AE3DC2"/>
    <w:rsid w:val="00AF13B4"/>
    <w:rsid w:val="00AF1DDE"/>
    <w:rsid w:val="00AF4ECA"/>
    <w:rsid w:val="00B963FC"/>
    <w:rsid w:val="00BA4935"/>
    <w:rsid w:val="00BD5CEB"/>
    <w:rsid w:val="00BE3120"/>
    <w:rsid w:val="00C17380"/>
    <w:rsid w:val="00C17F85"/>
    <w:rsid w:val="00C86E5B"/>
    <w:rsid w:val="00CA2E6A"/>
    <w:rsid w:val="00CA46AF"/>
    <w:rsid w:val="00CD3FAF"/>
    <w:rsid w:val="00D12190"/>
    <w:rsid w:val="00D315F7"/>
    <w:rsid w:val="00D3579A"/>
    <w:rsid w:val="00D44860"/>
    <w:rsid w:val="00D55C49"/>
    <w:rsid w:val="00D635DA"/>
    <w:rsid w:val="00D73BBC"/>
    <w:rsid w:val="00D850B8"/>
    <w:rsid w:val="00DA1C0B"/>
    <w:rsid w:val="00DE064A"/>
    <w:rsid w:val="00E01048"/>
    <w:rsid w:val="00E160DD"/>
    <w:rsid w:val="00E83489"/>
    <w:rsid w:val="00EB7718"/>
    <w:rsid w:val="00F13C78"/>
    <w:rsid w:val="00F470EE"/>
    <w:rsid w:val="00F55A37"/>
    <w:rsid w:val="00F626BC"/>
    <w:rsid w:val="00FB2B18"/>
    <w:rsid w:val="00FC3A15"/>
    <w:rsid w:val="00FE664F"/>
    <w:rsid w:val="00FF3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3FC"/>
    <w:pPr>
      <w:spacing w:after="200" w:line="276" w:lineRule="auto"/>
    </w:pPr>
    <w:rPr>
      <w:sz w:val="22"/>
      <w:szCs w:val="22"/>
    </w:rPr>
  </w:style>
  <w:style w:type="paragraph" w:styleId="Heading1">
    <w:name w:val="heading 1"/>
    <w:basedOn w:val="Normal"/>
    <w:next w:val="Normal"/>
    <w:link w:val="Heading1Char"/>
    <w:uiPriority w:val="9"/>
    <w:qFormat/>
    <w:rsid w:val="005F69FD"/>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2E6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CA2E6A"/>
    <w:rPr>
      <w:b/>
      <w:bCs/>
    </w:rPr>
  </w:style>
  <w:style w:type="paragraph" w:styleId="Title">
    <w:name w:val="Title"/>
    <w:basedOn w:val="Normal"/>
    <w:next w:val="Normal"/>
    <w:link w:val="TitleChar"/>
    <w:uiPriority w:val="10"/>
    <w:qFormat/>
    <w:rsid w:val="0070610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706103"/>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706103"/>
    <w:pPr>
      <w:ind w:left="720"/>
      <w:contextualSpacing/>
    </w:pPr>
  </w:style>
  <w:style w:type="paragraph" w:styleId="BalloonText">
    <w:name w:val="Balloon Text"/>
    <w:basedOn w:val="Normal"/>
    <w:link w:val="BalloonTextChar"/>
    <w:uiPriority w:val="99"/>
    <w:semiHidden/>
    <w:unhideWhenUsed/>
    <w:rsid w:val="00DE0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4A"/>
    <w:rPr>
      <w:rFonts w:ascii="Tahoma" w:hAnsi="Tahoma" w:cs="Tahoma"/>
      <w:sz w:val="16"/>
      <w:szCs w:val="16"/>
    </w:rPr>
  </w:style>
  <w:style w:type="character" w:customStyle="1" w:styleId="Heading1Char">
    <w:name w:val="Heading 1 Char"/>
    <w:basedOn w:val="DefaultParagraphFont"/>
    <w:link w:val="Heading1"/>
    <w:uiPriority w:val="9"/>
    <w:rsid w:val="005F69FD"/>
    <w:rPr>
      <w:rFonts w:ascii="Cambria" w:eastAsia="Times New Roman" w:hAnsi="Cambria" w:cs="Times New Roman"/>
      <w:b/>
      <w:bCs/>
      <w:color w:val="365F91"/>
      <w:sz w:val="28"/>
      <w:szCs w:val="28"/>
    </w:rPr>
  </w:style>
  <w:style w:type="table" w:styleId="TableGrid">
    <w:name w:val="Table Grid"/>
    <w:basedOn w:val="TableNormal"/>
    <w:uiPriority w:val="59"/>
    <w:rsid w:val="005F69FD"/>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AC4465"/>
    <w:rPr>
      <w:color w:val="0000FF"/>
      <w:u w:val="single"/>
    </w:rPr>
  </w:style>
  <w:style w:type="paragraph" w:styleId="Header">
    <w:name w:val="header"/>
    <w:basedOn w:val="Normal"/>
    <w:link w:val="HeaderChar"/>
    <w:uiPriority w:val="99"/>
    <w:semiHidden/>
    <w:unhideWhenUsed/>
    <w:rsid w:val="00EB7718"/>
    <w:pPr>
      <w:tabs>
        <w:tab w:val="center" w:pos="4680"/>
        <w:tab w:val="right" w:pos="9360"/>
      </w:tabs>
    </w:pPr>
  </w:style>
  <w:style w:type="character" w:customStyle="1" w:styleId="HeaderChar">
    <w:name w:val="Header Char"/>
    <w:basedOn w:val="DefaultParagraphFont"/>
    <w:link w:val="Header"/>
    <w:uiPriority w:val="99"/>
    <w:semiHidden/>
    <w:rsid w:val="00EB7718"/>
    <w:rPr>
      <w:sz w:val="22"/>
      <w:szCs w:val="22"/>
    </w:rPr>
  </w:style>
  <w:style w:type="paragraph" w:styleId="Footer">
    <w:name w:val="footer"/>
    <w:basedOn w:val="Normal"/>
    <w:link w:val="FooterChar"/>
    <w:uiPriority w:val="99"/>
    <w:unhideWhenUsed/>
    <w:rsid w:val="00EB7718"/>
    <w:pPr>
      <w:tabs>
        <w:tab w:val="center" w:pos="4680"/>
        <w:tab w:val="right" w:pos="9360"/>
      </w:tabs>
    </w:pPr>
  </w:style>
  <w:style w:type="character" w:customStyle="1" w:styleId="FooterChar">
    <w:name w:val="Footer Char"/>
    <w:basedOn w:val="DefaultParagraphFont"/>
    <w:link w:val="Footer"/>
    <w:uiPriority w:val="99"/>
    <w:rsid w:val="00EB7718"/>
    <w:rPr>
      <w:sz w:val="22"/>
      <w:szCs w:val="22"/>
    </w:rPr>
  </w:style>
</w:styles>
</file>

<file path=word/webSettings.xml><?xml version="1.0" encoding="utf-8"?>
<w:webSettings xmlns:r="http://schemas.openxmlformats.org/officeDocument/2006/relationships" xmlns:w="http://schemas.openxmlformats.org/wordprocessingml/2006/main">
  <w:divs>
    <w:div w:id="177728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gov/info/edgar/edgartaxonomies.shtml" TargetMode="Externa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xbrl.us/us-gaap/1.0/dis/us-gaap-dis-acec-2008-03-31.xsd"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xbrl.us/taxonomies/Pages/US-GAAP2009.aspx" TargetMode="External"/><Relationship Id="rId14" Type="http://schemas.openxmlformats.org/officeDocument/2006/relationships/image" Target="media/image6.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Links>
    <vt:vector size="24" baseType="variant">
      <vt:variant>
        <vt:i4>7077934</vt:i4>
      </vt:variant>
      <vt:variant>
        <vt:i4>9</vt:i4>
      </vt:variant>
      <vt:variant>
        <vt:i4>0</vt:i4>
      </vt:variant>
      <vt:variant>
        <vt:i4>5</vt:i4>
      </vt:variant>
      <vt:variant>
        <vt:lpwstr>http://xbrl.us/us-gaap/1.0/dis/us-gaap-dis-acec-2008-03-31.xsd</vt:lpwstr>
      </vt:variant>
      <vt:variant>
        <vt:lpwstr/>
      </vt:variant>
      <vt:variant>
        <vt:i4>4194323</vt:i4>
      </vt:variant>
      <vt:variant>
        <vt:i4>6</vt:i4>
      </vt:variant>
      <vt:variant>
        <vt:i4>0</vt:i4>
      </vt:variant>
      <vt:variant>
        <vt:i4>5</vt:i4>
      </vt:variant>
      <vt:variant>
        <vt:lpwstr>http://xbrl.us/taxonomies/Pages/US-GAAP2009.aspx</vt:lpwstr>
      </vt:variant>
      <vt:variant>
        <vt:lpwstr/>
      </vt:variant>
      <vt:variant>
        <vt:i4>6553638</vt:i4>
      </vt:variant>
      <vt:variant>
        <vt:i4>3</vt:i4>
      </vt:variant>
      <vt:variant>
        <vt:i4>0</vt:i4>
      </vt:variant>
      <vt:variant>
        <vt:i4>5</vt:i4>
      </vt:variant>
      <vt:variant>
        <vt:lpwstr>http://www.sec.gov/info/edgar/edgartaxonomies.shtml</vt:lpwstr>
      </vt:variant>
      <vt:variant>
        <vt:lpwstr/>
      </vt:variant>
      <vt:variant>
        <vt:i4>786521</vt:i4>
      </vt:variant>
      <vt:variant>
        <vt:i4>0</vt:i4>
      </vt:variant>
      <vt:variant>
        <vt:i4>0</vt:i4>
      </vt:variant>
      <vt:variant>
        <vt:i4>5</vt:i4>
      </vt:variant>
      <vt:variant>
        <vt:lpwstr>http://www.sec.gov/info/edgar/edgartaxonomies.xml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Hamscher</cp:lastModifiedBy>
  <cp:revision>27</cp:revision>
  <dcterms:created xsi:type="dcterms:W3CDTF">2010-10-19T14:00:00Z</dcterms:created>
  <dcterms:modified xsi:type="dcterms:W3CDTF">2011-05-19T16:55:00Z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2.3.0.11</vt:lpwstr>
  </property>
</Properties>
</file>