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2C" w:rsidRPr="009D1187" w:rsidRDefault="000C4FB5" w:rsidP="00981087">
      <w:pPr>
        <w:spacing w:after="0"/>
        <w:rPr>
          <w:rStyle w:val="Emphasis"/>
        </w:rPr>
      </w:pPr>
      <w:r>
        <w:rPr>
          <w:rStyle w:val="Emphasis"/>
        </w:rPr>
        <w:t>Emily Huang</w:t>
      </w:r>
      <w:r w:rsidR="00124F2C" w:rsidRPr="009D1187">
        <w:rPr>
          <w:rStyle w:val="Emphasis"/>
        </w:rPr>
        <w:t xml:space="preserve">, </w:t>
      </w:r>
      <w:r w:rsidR="00F27ACA">
        <w:rPr>
          <w:rStyle w:val="Emphasis"/>
        </w:rPr>
        <w:fldChar w:fldCharType="begin"/>
      </w:r>
      <w:r>
        <w:rPr>
          <w:rStyle w:val="Emphasis"/>
        </w:rPr>
        <w:instrText xml:space="preserve"> DATE \@ "MMMM d, yyyy" </w:instrText>
      </w:r>
      <w:r w:rsidR="00F27ACA">
        <w:rPr>
          <w:rStyle w:val="Emphasis"/>
        </w:rPr>
        <w:fldChar w:fldCharType="separate"/>
      </w:r>
      <w:r w:rsidR="00CE62D1">
        <w:rPr>
          <w:rStyle w:val="Emphasis"/>
          <w:noProof/>
        </w:rPr>
        <w:t>June 28, 2010</w:t>
      </w:r>
      <w:r w:rsidR="00F27ACA">
        <w:rPr>
          <w:rStyle w:val="Emphasis"/>
        </w:rPr>
        <w:fldChar w:fldCharType="end"/>
      </w:r>
    </w:p>
    <w:p w:rsidR="006C36B4" w:rsidRPr="00C01E0B" w:rsidRDefault="006C36B4" w:rsidP="009D1187">
      <w:pPr>
        <w:pStyle w:val="Heading2"/>
      </w:pPr>
      <w:proofErr w:type="gramStart"/>
      <w:r w:rsidRPr="00C01E0B">
        <w:t>Table 1.</w:t>
      </w:r>
      <w:proofErr w:type="gramEnd"/>
      <w:r w:rsidRPr="00C01E0B">
        <w:t xml:space="preserve"> High-Level Report Processing Logic</w:t>
      </w:r>
    </w:p>
    <w:tbl>
      <w:tblPr>
        <w:tblStyle w:val="MediumShading2-Accent11"/>
        <w:tblW w:w="0" w:type="auto"/>
        <w:tblLayout w:type="fixed"/>
        <w:tblLook w:val="04A0"/>
      </w:tblPr>
      <w:tblGrid>
        <w:gridCol w:w="3258"/>
        <w:gridCol w:w="7650"/>
      </w:tblGrid>
      <w:tr w:rsidR="00C0635C" w:rsidRPr="00C01E0B" w:rsidTr="00981087">
        <w:trPr>
          <w:cnfStyle w:val="100000000000"/>
          <w:trHeight w:val="288"/>
        </w:trPr>
        <w:tc>
          <w:tcPr>
            <w:cnfStyle w:val="001000000100"/>
            <w:tcW w:w="3258" w:type="dxa"/>
          </w:tcPr>
          <w:p w:rsidR="00C0635C" w:rsidRPr="00C31A67" w:rsidRDefault="00C0635C" w:rsidP="00506989">
            <w:r w:rsidRPr="00C31A67">
              <w:t>Step</w:t>
            </w:r>
          </w:p>
        </w:tc>
        <w:tc>
          <w:tcPr>
            <w:tcW w:w="7650" w:type="dxa"/>
          </w:tcPr>
          <w:p w:rsidR="00C0635C" w:rsidRPr="00C31A67" w:rsidRDefault="00C0635C" w:rsidP="00506989">
            <w:pPr>
              <w:cnfStyle w:val="100000000000"/>
            </w:pPr>
            <w:r w:rsidRPr="00C31A67">
              <w:t>Description</w:t>
            </w:r>
          </w:p>
        </w:tc>
      </w:tr>
      <w:tr w:rsidR="00C0635C" w:rsidRPr="00C01E0B" w:rsidTr="00981087">
        <w:trPr>
          <w:cnfStyle w:val="000000100000"/>
        </w:trPr>
        <w:tc>
          <w:tcPr>
            <w:cnfStyle w:val="001000000000"/>
            <w:tcW w:w="3258" w:type="dxa"/>
          </w:tcPr>
          <w:p w:rsidR="00C0635C" w:rsidRPr="00C01E0B" w:rsidRDefault="00C0635C" w:rsidP="00DA2F43">
            <w:pPr>
              <w:pStyle w:val="ListParagraph"/>
              <w:numPr>
                <w:ilvl w:val="0"/>
                <w:numId w:val="2"/>
              </w:numPr>
            </w:pPr>
            <w:r w:rsidRPr="00C01E0B">
              <w:t>Verify the taxonomy exists</w:t>
            </w:r>
          </w:p>
        </w:tc>
        <w:tc>
          <w:tcPr>
            <w:tcW w:w="7650" w:type="dxa"/>
          </w:tcPr>
          <w:p w:rsidR="00C0635C" w:rsidRPr="00C01E0B" w:rsidRDefault="00C0635C" w:rsidP="00506989">
            <w:pPr>
              <w:cnfStyle w:val="000000100000"/>
            </w:pPr>
          </w:p>
        </w:tc>
      </w:tr>
      <w:tr w:rsidR="00C0635C" w:rsidRPr="00C01E0B" w:rsidTr="00981087">
        <w:tc>
          <w:tcPr>
            <w:cnfStyle w:val="001000000000"/>
            <w:tcW w:w="3258" w:type="dxa"/>
          </w:tcPr>
          <w:p w:rsidR="00C0635C" w:rsidRPr="00C01E0B" w:rsidRDefault="00C0635C" w:rsidP="00DA2F43">
            <w:pPr>
              <w:pStyle w:val="ListParagraph"/>
              <w:numPr>
                <w:ilvl w:val="0"/>
                <w:numId w:val="2"/>
              </w:numPr>
            </w:pPr>
            <w:r w:rsidRPr="00C01E0B">
              <w:t>Verify the instance exists</w:t>
            </w:r>
          </w:p>
        </w:tc>
        <w:tc>
          <w:tcPr>
            <w:tcW w:w="7650" w:type="dxa"/>
          </w:tcPr>
          <w:p w:rsidR="00C0635C" w:rsidRPr="00C01E0B" w:rsidRDefault="00C0635C" w:rsidP="00506989">
            <w:pPr>
              <w:cnfStyle w:val="000000000000"/>
            </w:pPr>
          </w:p>
        </w:tc>
      </w:tr>
      <w:tr w:rsidR="00C0635C" w:rsidRPr="00C01E0B" w:rsidTr="00981087">
        <w:trPr>
          <w:cnfStyle w:val="000000100000"/>
        </w:trPr>
        <w:tc>
          <w:tcPr>
            <w:cnfStyle w:val="001000000000"/>
            <w:tcW w:w="3258" w:type="dxa"/>
          </w:tcPr>
          <w:p w:rsidR="00C0635C" w:rsidRPr="00C01E0B" w:rsidRDefault="00C0635C" w:rsidP="00DA2F43">
            <w:pPr>
              <w:pStyle w:val="ListParagraph"/>
              <w:numPr>
                <w:ilvl w:val="0"/>
                <w:numId w:val="2"/>
              </w:numPr>
            </w:pPr>
            <w:r w:rsidRPr="00C01E0B">
              <w:t>Load taxonomy</w:t>
            </w:r>
          </w:p>
        </w:tc>
        <w:tc>
          <w:tcPr>
            <w:tcW w:w="7650" w:type="dxa"/>
          </w:tcPr>
          <w:p w:rsidR="00C0635C" w:rsidRPr="00C01E0B" w:rsidRDefault="00C0635C" w:rsidP="00506989">
            <w:pPr>
              <w:cnfStyle w:val="000000100000"/>
            </w:pPr>
          </w:p>
        </w:tc>
      </w:tr>
      <w:tr w:rsidR="00C0635C" w:rsidRPr="00C01E0B" w:rsidTr="00981087">
        <w:tc>
          <w:tcPr>
            <w:cnfStyle w:val="001000000000"/>
            <w:tcW w:w="3258" w:type="dxa"/>
          </w:tcPr>
          <w:p w:rsidR="00C0635C" w:rsidRPr="00C01E0B" w:rsidRDefault="00C0635C" w:rsidP="00DA2F43">
            <w:pPr>
              <w:pStyle w:val="ListParagraph"/>
              <w:numPr>
                <w:ilvl w:val="0"/>
                <w:numId w:val="2"/>
              </w:numPr>
            </w:pPr>
            <w:r w:rsidRPr="00C01E0B">
              <w:t>Load instance</w:t>
            </w:r>
          </w:p>
        </w:tc>
        <w:tc>
          <w:tcPr>
            <w:tcW w:w="7650" w:type="dxa"/>
          </w:tcPr>
          <w:p w:rsidR="00C0635C" w:rsidRPr="00C01E0B" w:rsidRDefault="00C0635C" w:rsidP="00506989">
            <w:pPr>
              <w:cnfStyle w:val="000000000000"/>
            </w:pPr>
          </w:p>
        </w:tc>
      </w:tr>
      <w:tr w:rsidR="00C0635C" w:rsidRPr="00C01E0B" w:rsidTr="00981087">
        <w:trPr>
          <w:cnfStyle w:val="000000100000"/>
        </w:trPr>
        <w:tc>
          <w:tcPr>
            <w:cnfStyle w:val="001000000000"/>
            <w:tcW w:w="3258" w:type="dxa"/>
          </w:tcPr>
          <w:p w:rsidR="00C0635C" w:rsidRPr="00C01E0B" w:rsidRDefault="00C0635C" w:rsidP="00DA2F43">
            <w:pPr>
              <w:pStyle w:val="ListParagraph"/>
              <w:numPr>
                <w:ilvl w:val="0"/>
                <w:numId w:val="2"/>
              </w:numPr>
            </w:pPr>
            <w:r w:rsidRPr="00C01E0B">
              <w:t>If the current taxonomy contained dimensions, determine report-level allowed dimension/members for each report</w:t>
            </w:r>
          </w:p>
        </w:tc>
        <w:tc>
          <w:tcPr>
            <w:tcW w:w="7650" w:type="dxa"/>
          </w:tcPr>
          <w:p w:rsidR="00C0635C" w:rsidRDefault="00C0635C" w:rsidP="00506989">
            <w:pPr>
              <w:cnfStyle w:val="000000100000"/>
            </w:pPr>
            <w:r w:rsidRPr="00C01E0B">
              <w:t>Use the following code to determine if the current</w:t>
            </w:r>
            <w:r w:rsidR="00BE4C19">
              <w:t xml:space="preserve"> taxonomy has dimension or not:</w:t>
            </w:r>
          </w:p>
          <w:p w:rsidR="00BE4C19" w:rsidRPr="00C01E0B" w:rsidRDefault="00BE4C19" w:rsidP="00506989">
            <w:pPr>
              <w:cnfStyle w:val="000000100000"/>
            </w:pPr>
          </w:p>
          <w:p w:rsidR="0055447F" w:rsidRDefault="00C0635C" w:rsidP="00C0635C">
            <w:pPr>
              <w:autoSpaceDE w:val="0"/>
              <w:autoSpaceDN w:val="0"/>
              <w:adjustRightInd w:val="0"/>
              <w:cnfStyle w:val="000000100000"/>
              <w:rPr>
                <w:rFonts w:cs="Courier New"/>
                <w:noProof/>
              </w:rPr>
            </w:pPr>
            <w:r w:rsidRPr="00C01E0B">
              <w:rPr>
                <w:rFonts w:cs="Courier New"/>
                <w:noProof/>
              </w:rPr>
              <w:t xml:space="preserve">tax.NetDefinisionInfo != </w:t>
            </w:r>
            <w:r w:rsidRPr="00C01E0B">
              <w:rPr>
                <w:rFonts w:cs="Courier New"/>
                <w:noProof/>
                <w:color w:val="0000FF"/>
              </w:rPr>
              <w:t>null</w:t>
            </w:r>
            <w:r w:rsidRPr="00C01E0B">
              <w:rPr>
                <w:rFonts w:cs="Courier New"/>
                <w:noProof/>
              </w:rPr>
              <w:t xml:space="preserve"> </w:t>
            </w:r>
            <w:r w:rsidR="0055447F">
              <w:rPr>
                <w:rFonts w:cs="Courier New"/>
                <w:noProof/>
              </w:rPr>
              <w:t xml:space="preserve"> </w:t>
            </w:r>
            <w:r w:rsidRPr="00C01E0B">
              <w:rPr>
                <w:rFonts w:cs="Courier New"/>
                <w:noProof/>
              </w:rPr>
              <w:t xml:space="preserve">&amp;&amp;                </w:t>
            </w:r>
          </w:p>
          <w:p w:rsidR="00C0635C" w:rsidRPr="00C01E0B" w:rsidRDefault="00C0635C" w:rsidP="00C0635C">
            <w:pPr>
              <w:autoSpaceDE w:val="0"/>
              <w:autoSpaceDN w:val="0"/>
              <w:adjustRightInd w:val="0"/>
              <w:cnfStyle w:val="000000100000"/>
              <w:rPr>
                <w:rFonts w:cs="Courier New"/>
                <w:noProof/>
              </w:rPr>
            </w:pPr>
            <w:r w:rsidRPr="00C01E0B">
              <w:rPr>
                <w:rFonts w:cs="Courier New"/>
                <w:noProof/>
              </w:rPr>
              <w:t xml:space="preserve"> tax.NetDefinisionInfo.DefinitionLinks != </w:t>
            </w:r>
            <w:r w:rsidRPr="00C01E0B">
              <w:rPr>
                <w:rFonts w:cs="Courier New"/>
                <w:noProof/>
                <w:color w:val="0000FF"/>
              </w:rPr>
              <w:t>null</w:t>
            </w:r>
            <w:r w:rsidRPr="00C01E0B">
              <w:rPr>
                <w:rFonts w:cs="Courier New"/>
                <w:noProof/>
              </w:rPr>
              <w:t xml:space="preserve"> </w:t>
            </w:r>
            <w:r w:rsidR="0055447F">
              <w:rPr>
                <w:rFonts w:cs="Courier New"/>
                <w:noProof/>
              </w:rPr>
              <w:t xml:space="preserve"> </w:t>
            </w:r>
            <w:r w:rsidRPr="00C01E0B">
              <w:rPr>
                <w:rFonts w:cs="Courier New"/>
                <w:noProof/>
              </w:rPr>
              <w:t xml:space="preserve">&amp;&amp; </w:t>
            </w:r>
          </w:p>
          <w:p w:rsidR="00B403BC" w:rsidRPr="00C01E0B" w:rsidRDefault="00C0635C" w:rsidP="00E561AC">
            <w:pPr>
              <w:autoSpaceDE w:val="0"/>
              <w:autoSpaceDN w:val="0"/>
              <w:adjustRightInd w:val="0"/>
              <w:cnfStyle w:val="000000100000"/>
            </w:pPr>
            <w:r w:rsidRPr="00C01E0B">
              <w:rPr>
                <w:rFonts w:cs="Courier New"/>
                <w:noProof/>
              </w:rPr>
              <w:t>tax.NetDefinisionInfo.DefinitionLinks.Count &gt; 0</w:t>
            </w:r>
          </w:p>
        </w:tc>
      </w:tr>
      <w:tr w:rsidR="006C29CA" w:rsidRPr="00C01E0B" w:rsidTr="00981087">
        <w:tc>
          <w:tcPr>
            <w:cnfStyle w:val="001000000000"/>
            <w:tcW w:w="3258" w:type="dxa"/>
          </w:tcPr>
          <w:p w:rsidR="006C29CA" w:rsidRPr="00C01E0B" w:rsidRDefault="006C29CA" w:rsidP="00DA2F43">
            <w:pPr>
              <w:pStyle w:val="ListParagraph"/>
              <w:numPr>
                <w:ilvl w:val="0"/>
                <w:numId w:val="2"/>
              </w:numPr>
            </w:pPr>
            <w:r w:rsidRPr="00C01E0B">
              <w:t>Build filing summary</w:t>
            </w:r>
            <w:r w:rsidR="004E7E24" w:rsidRPr="00C01E0B">
              <w:t xml:space="preserve"> (FilingSummary.xml)</w:t>
            </w:r>
          </w:p>
        </w:tc>
        <w:tc>
          <w:tcPr>
            <w:tcW w:w="7650" w:type="dxa"/>
          </w:tcPr>
          <w:p w:rsidR="006C29CA" w:rsidRPr="00C01E0B" w:rsidRDefault="006C29CA" w:rsidP="00506989">
            <w:pPr>
              <w:cnfStyle w:val="000000000000"/>
            </w:pPr>
            <w:r w:rsidRPr="00C01E0B">
              <w:t xml:space="preserve">Filing summary contains </w:t>
            </w:r>
          </w:p>
          <w:p w:rsidR="006C29CA" w:rsidRPr="00C01E0B" w:rsidRDefault="006C29CA" w:rsidP="00DA2F43">
            <w:pPr>
              <w:pStyle w:val="ListParagraph"/>
              <w:numPr>
                <w:ilvl w:val="0"/>
                <w:numId w:val="1"/>
              </w:numPr>
              <w:cnfStyle w:val="000000000000"/>
            </w:pPr>
            <w:r w:rsidRPr="00C01E0B">
              <w:t>A collection of reports for this filing</w:t>
            </w:r>
          </w:p>
          <w:p w:rsidR="006C29CA" w:rsidRPr="00C01E0B" w:rsidRDefault="006C29CA" w:rsidP="00DA2F43">
            <w:pPr>
              <w:pStyle w:val="ListParagraph"/>
              <w:numPr>
                <w:ilvl w:val="0"/>
                <w:numId w:val="1"/>
              </w:numPr>
              <w:cnfStyle w:val="000000000000"/>
            </w:pPr>
            <w:r w:rsidRPr="00C01E0B">
              <w:t>Statistics for the current filings (# of contexts, units, segments, scenarios, elements, context/element distribution, etc.)</w:t>
            </w:r>
          </w:p>
          <w:p w:rsidR="00B403BC" w:rsidRDefault="00A12FE5" w:rsidP="00E561AC">
            <w:pPr>
              <w:pStyle w:val="ListParagraph"/>
              <w:numPr>
                <w:ilvl w:val="0"/>
                <w:numId w:val="1"/>
              </w:numPr>
              <w:cnfStyle w:val="000000000000"/>
            </w:pPr>
            <w:r w:rsidRPr="00C01E0B">
              <w:t xml:space="preserve">Determine the “default” report – report to display by default should be </w:t>
            </w:r>
            <w:r w:rsidR="00051DD3">
              <w:t xml:space="preserve">the </w:t>
            </w:r>
            <w:r w:rsidR="00051DD3" w:rsidRPr="00877A41">
              <w:rPr>
                <w:b/>
                <w:u w:val="single"/>
              </w:rPr>
              <w:t>first</w:t>
            </w:r>
            <w:r w:rsidR="00051DD3">
              <w:t xml:space="preserve"> report in the reports collection. For the new US GAAP taxonomy, normally, the default report would be the “balance sheet”. Preparer can re-sequence the reports by changing the report title</w:t>
            </w:r>
            <w:r w:rsidR="00877A41">
              <w:t>. The rendering engine sorts the reports by titles.</w:t>
            </w:r>
          </w:p>
          <w:p w:rsidR="007506DB" w:rsidRPr="00C01E0B" w:rsidRDefault="007506DB" w:rsidP="00535C6A">
            <w:pPr>
              <w:pStyle w:val="ListParagraph"/>
              <w:ind w:left="360"/>
              <w:cnfStyle w:val="000000000000"/>
            </w:pPr>
          </w:p>
        </w:tc>
      </w:tr>
      <w:tr w:rsidR="009A225A" w:rsidRPr="00C01E0B" w:rsidTr="00981087">
        <w:trPr>
          <w:cnfStyle w:val="000000100000"/>
        </w:trPr>
        <w:tc>
          <w:tcPr>
            <w:cnfStyle w:val="001000000000"/>
            <w:tcW w:w="3258" w:type="dxa"/>
          </w:tcPr>
          <w:p w:rsidR="009A225A" w:rsidRPr="00C01E0B" w:rsidRDefault="009A225A" w:rsidP="00DA2F43">
            <w:pPr>
              <w:pStyle w:val="ListParagraph"/>
              <w:numPr>
                <w:ilvl w:val="0"/>
                <w:numId w:val="2"/>
              </w:numPr>
            </w:pPr>
            <w:r w:rsidRPr="00C01E0B">
              <w:t>Process individual reports</w:t>
            </w:r>
          </w:p>
        </w:tc>
        <w:tc>
          <w:tcPr>
            <w:tcW w:w="7650" w:type="dxa"/>
          </w:tcPr>
          <w:p w:rsidR="00AE7411" w:rsidRPr="007F062A" w:rsidRDefault="00B66319" w:rsidP="00506989">
            <w:pPr>
              <w:cnfStyle w:val="000000100000"/>
              <w:rPr>
                <w:b/>
                <w:i/>
              </w:rPr>
            </w:pPr>
            <w:r w:rsidRPr="007F062A">
              <w:rPr>
                <w:b/>
                <w:i/>
              </w:rPr>
              <w:t xml:space="preserve">*** </w:t>
            </w:r>
            <w:r w:rsidR="005346D6" w:rsidRPr="007F062A">
              <w:rPr>
                <w:b/>
                <w:i/>
              </w:rPr>
              <w:t>Table 2 lists the details for processing individual reports</w:t>
            </w:r>
          </w:p>
          <w:p w:rsidR="006F0991" w:rsidRPr="00C01E0B" w:rsidRDefault="006F0991" w:rsidP="00AE7411">
            <w:pPr>
              <w:cnfStyle w:val="000000100000"/>
            </w:pPr>
          </w:p>
        </w:tc>
      </w:tr>
      <w:tr w:rsidR="009A225A" w:rsidRPr="00C01E0B" w:rsidTr="00981087">
        <w:tc>
          <w:tcPr>
            <w:cnfStyle w:val="001000000000"/>
            <w:tcW w:w="3258" w:type="dxa"/>
          </w:tcPr>
          <w:p w:rsidR="009A225A" w:rsidRPr="00C01E0B" w:rsidRDefault="009A225A" w:rsidP="00DA2F43">
            <w:pPr>
              <w:pStyle w:val="ListParagraph"/>
              <w:numPr>
                <w:ilvl w:val="0"/>
                <w:numId w:val="2"/>
              </w:numPr>
            </w:pPr>
            <w:r w:rsidRPr="00C01E0B">
              <w:t>Process uncategorized items report</w:t>
            </w:r>
          </w:p>
        </w:tc>
        <w:tc>
          <w:tcPr>
            <w:tcW w:w="7650" w:type="dxa"/>
          </w:tcPr>
          <w:p w:rsidR="009A225A" w:rsidRPr="00C01E0B" w:rsidRDefault="009A225A" w:rsidP="00506989">
            <w:pPr>
              <w:cnfStyle w:val="000000000000"/>
            </w:pPr>
            <w:r w:rsidRPr="00C01E0B">
              <w:t>The uncategorized items report contains the reported facts that do not belong to the presentation linkbase or taxonomy</w:t>
            </w:r>
          </w:p>
          <w:p w:rsidR="00B403BC" w:rsidRPr="00C01E0B" w:rsidRDefault="00B403BC" w:rsidP="00506989">
            <w:pPr>
              <w:cnfStyle w:val="000000000000"/>
            </w:pPr>
          </w:p>
        </w:tc>
      </w:tr>
      <w:tr w:rsidR="009A225A" w:rsidRPr="00C01E0B" w:rsidTr="00981087">
        <w:trPr>
          <w:cnfStyle w:val="000000100000"/>
        </w:trPr>
        <w:tc>
          <w:tcPr>
            <w:cnfStyle w:val="001000000000"/>
            <w:tcW w:w="3258" w:type="dxa"/>
          </w:tcPr>
          <w:p w:rsidR="009A225A" w:rsidRPr="00C01E0B" w:rsidRDefault="004E7E24" w:rsidP="00DA2F43">
            <w:pPr>
              <w:pStyle w:val="ListParagraph"/>
              <w:numPr>
                <w:ilvl w:val="0"/>
                <w:numId w:val="2"/>
              </w:numPr>
            </w:pPr>
            <w:r w:rsidRPr="00C01E0B">
              <w:t>Create XML file (DEFnREF.xml)</w:t>
            </w:r>
            <w:r w:rsidR="009E6EF5" w:rsidRPr="00C01E0B">
              <w:t xml:space="preserve"> </w:t>
            </w:r>
          </w:p>
        </w:tc>
        <w:tc>
          <w:tcPr>
            <w:tcW w:w="7650" w:type="dxa"/>
          </w:tcPr>
          <w:p w:rsidR="00B403BC" w:rsidRDefault="009E6EF5" w:rsidP="00E561AC">
            <w:pPr>
              <w:cnfStyle w:val="000000100000"/>
            </w:pPr>
            <w:r w:rsidRPr="00C01E0B">
              <w:t>The def and ref file contains the definitions and authoritative references for the reporting elements used in the filing</w:t>
            </w:r>
          </w:p>
          <w:p w:rsidR="007506DB" w:rsidRPr="00C01E0B" w:rsidRDefault="007506DB" w:rsidP="00E561AC">
            <w:pPr>
              <w:cnfStyle w:val="000000100000"/>
            </w:pPr>
          </w:p>
        </w:tc>
      </w:tr>
      <w:tr w:rsidR="00945C04" w:rsidRPr="00C01E0B" w:rsidTr="00981087">
        <w:tc>
          <w:tcPr>
            <w:cnfStyle w:val="001000000000"/>
            <w:tcW w:w="3258" w:type="dxa"/>
          </w:tcPr>
          <w:p w:rsidR="00945C04" w:rsidRPr="00C01E0B" w:rsidRDefault="00276889" w:rsidP="00DA2F43">
            <w:pPr>
              <w:pStyle w:val="ListParagraph"/>
              <w:numPr>
                <w:ilvl w:val="0"/>
                <w:numId w:val="2"/>
              </w:numPr>
            </w:pPr>
            <w:r w:rsidRPr="00C01E0B">
              <w:t xml:space="preserve">Clean up the </w:t>
            </w:r>
            <w:r w:rsidR="00B403BC" w:rsidRPr="00C01E0B">
              <w:t>reports/report columns</w:t>
            </w:r>
          </w:p>
        </w:tc>
        <w:tc>
          <w:tcPr>
            <w:tcW w:w="7650" w:type="dxa"/>
          </w:tcPr>
          <w:p w:rsidR="00B403BC" w:rsidRPr="00C01E0B" w:rsidRDefault="00B403BC" w:rsidP="00276889">
            <w:pPr>
              <w:cnfStyle w:val="000000000000"/>
            </w:pPr>
            <w:r w:rsidRPr="00C01E0B">
              <w:t>If the report is “Earnings Release”, do not clean up</w:t>
            </w:r>
          </w:p>
          <w:p w:rsidR="00B403BC" w:rsidRPr="00C01E0B" w:rsidRDefault="00B403BC" w:rsidP="00276889">
            <w:pPr>
              <w:cnfStyle w:val="000000000000"/>
            </w:pPr>
          </w:p>
          <w:p w:rsidR="00B403BC" w:rsidRPr="00C01E0B" w:rsidRDefault="00B403BC" w:rsidP="00276889">
            <w:pPr>
              <w:cnfStyle w:val="000000000000"/>
            </w:pPr>
            <w:r w:rsidRPr="00C01E0B">
              <w:t>If the filing is based on old GAAP (2005), remove flow-through reports, and remove flow-through columns</w:t>
            </w:r>
          </w:p>
          <w:p w:rsidR="00B403BC" w:rsidRPr="00C01E0B" w:rsidRDefault="00B403BC" w:rsidP="00B403BC">
            <w:pPr>
              <w:cnfStyle w:val="000000000000"/>
            </w:pPr>
          </w:p>
          <w:p w:rsidR="00B403BC" w:rsidRPr="00C01E0B" w:rsidRDefault="00B403BC" w:rsidP="00B403BC">
            <w:pPr>
              <w:cnfStyle w:val="000000000000"/>
            </w:pPr>
            <w:r w:rsidRPr="00C01E0B">
              <w:t>If the filing is based on new GAAP (200</w:t>
            </w:r>
            <w:r w:rsidR="009829F7">
              <w:t>9</w:t>
            </w:r>
            <w:r w:rsidRPr="00C01E0B">
              <w:t>), only remove flow-through columns, not the flow-through reports (some reports in the new GAAP share almost the same set of elements, for example “Income Statement including Gross Margin” and “Income statement excluding Gross Margin”)</w:t>
            </w:r>
          </w:p>
          <w:p w:rsidR="00B403BC" w:rsidRDefault="00B403BC" w:rsidP="00276889">
            <w:pPr>
              <w:cnfStyle w:val="000000000000"/>
            </w:pPr>
          </w:p>
          <w:p w:rsidR="001B5CC2" w:rsidRDefault="001B5CC2" w:rsidP="00276889">
            <w:pPr>
              <w:cnfStyle w:val="000000000000"/>
            </w:pPr>
            <w:r>
              <w:t>If the filing</w:t>
            </w:r>
            <w:r w:rsidR="009829F7">
              <w:t xml:space="preserve"> has the word “Statement” plus “</w:t>
            </w:r>
            <w:r>
              <w:t xml:space="preserve">Shareholders’ Equity”, </w:t>
            </w:r>
            <w:r w:rsidR="009829F7">
              <w:t xml:space="preserve"> “</w:t>
            </w:r>
            <w:r>
              <w:t xml:space="preserve">Stockholders’ Equity”, </w:t>
            </w:r>
            <w:r w:rsidR="009829F7">
              <w:t xml:space="preserve"> “</w:t>
            </w:r>
            <w:r>
              <w:t xml:space="preserve">Partners’ Equity”, </w:t>
            </w:r>
            <w:r w:rsidR="009829F7">
              <w:t xml:space="preserve"> or “Capital” </w:t>
            </w:r>
            <w:r>
              <w:t xml:space="preserve">and has segments, and </w:t>
            </w:r>
          </w:p>
          <w:p w:rsidR="001B5CC2" w:rsidRDefault="00305416" w:rsidP="001B5CC2">
            <w:pPr>
              <w:pStyle w:val="ListParagraph"/>
              <w:numPr>
                <w:ilvl w:val="0"/>
                <w:numId w:val="7"/>
              </w:numPr>
              <w:cnfStyle w:val="000000000000"/>
            </w:pPr>
            <w:r>
              <w:t xml:space="preserve">If </w:t>
            </w:r>
            <w:r w:rsidR="001B5CC2">
              <w:t>a column does not contain a beginning or ending balance, delete the column</w:t>
            </w:r>
            <w:r>
              <w:t xml:space="preserve"> </w:t>
            </w:r>
            <w:r w:rsidR="001B5CC2">
              <w:t xml:space="preserve"> </w:t>
            </w:r>
          </w:p>
          <w:p w:rsidR="00305416" w:rsidRDefault="00305416" w:rsidP="001B5CC2">
            <w:pPr>
              <w:pStyle w:val="ListParagraph"/>
              <w:numPr>
                <w:ilvl w:val="0"/>
                <w:numId w:val="7"/>
              </w:numPr>
              <w:cnfStyle w:val="000000000000"/>
            </w:pPr>
            <w:r>
              <w:t xml:space="preserve">If </w:t>
            </w:r>
            <w:r w:rsidR="001B5CC2">
              <w:t xml:space="preserve">a row </w:t>
            </w:r>
            <w:r>
              <w:t xml:space="preserve">that appears at the beginning of the report </w:t>
            </w:r>
            <w:r w:rsidR="001B5CC2">
              <w:t xml:space="preserve">does not have a </w:t>
            </w:r>
            <w:r>
              <w:lastRenderedPageBreak/>
              <w:t>balance above it, or if the row appears at the end of the report and does not have a balance below it, then delete the row.</w:t>
            </w:r>
          </w:p>
          <w:p w:rsidR="001B5CC2" w:rsidRPr="00C01E0B" w:rsidRDefault="001B5CC2" w:rsidP="001B5CC2">
            <w:pPr>
              <w:pStyle w:val="ListParagraph"/>
              <w:numPr>
                <w:ilvl w:val="0"/>
                <w:numId w:val="7"/>
              </w:numPr>
              <w:cnfStyle w:val="000000000000"/>
            </w:pPr>
            <w:r>
              <w:t xml:space="preserve"> </w:t>
            </w:r>
            <w:r w:rsidR="00305416">
              <w:t>If a row has no segmented data, then delete it.</w:t>
            </w:r>
          </w:p>
          <w:p w:rsidR="00D61756" w:rsidRDefault="00D61756" w:rsidP="00276889">
            <w:pPr>
              <w:cnfStyle w:val="000000000000"/>
            </w:pPr>
          </w:p>
          <w:p w:rsidR="00B403BC" w:rsidRDefault="00212C85" w:rsidP="00276889">
            <w:pPr>
              <w:cnfStyle w:val="000000000000"/>
            </w:pPr>
            <w:r w:rsidRPr="00C01E0B">
              <w:t>This needs to be processed at the end – need to get all individual reports processed first</w:t>
            </w:r>
          </w:p>
          <w:p w:rsidR="007506DB" w:rsidRDefault="007506DB" w:rsidP="00276889">
            <w:pPr>
              <w:cnfStyle w:val="000000000000"/>
            </w:pPr>
          </w:p>
          <w:p w:rsidR="007506DB" w:rsidRDefault="0044196F" w:rsidP="00276889">
            <w:pPr>
              <w:cnfStyle w:val="000000000000"/>
            </w:pPr>
            <w:r>
              <w:t>**flow-through: entire report or column doesn’t contain elements unique to this report.</w:t>
            </w:r>
          </w:p>
          <w:p w:rsidR="003A5130" w:rsidRPr="00C01E0B" w:rsidRDefault="003A5130" w:rsidP="00276889">
            <w:pPr>
              <w:cnfStyle w:val="000000000000"/>
            </w:pPr>
          </w:p>
        </w:tc>
      </w:tr>
    </w:tbl>
    <w:p w:rsidR="001D45DC" w:rsidRPr="00C01E0B" w:rsidRDefault="001D45DC" w:rsidP="001D45DC">
      <w:pPr>
        <w:rPr>
          <w:b/>
          <w:i/>
        </w:rPr>
      </w:pPr>
    </w:p>
    <w:p w:rsidR="001D45DC" w:rsidRPr="00C01E0B" w:rsidRDefault="001D45DC" w:rsidP="009D1187">
      <w:pPr>
        <w:pStyle w:val="Heading2"/>
      </w:pPr>
      <w:proofErr w:type="gramStart"/>
      <w:r w:rsidRPr="00C01E0B">
        <w:t>Table 2.</w:t>
      </w:r>
      <w:proofErr w:type="gramEnd"/>
      <w:r w:rsidRPr="00C01E0B">
        <w:t xml:space="preserve"> Detailed Individual Report Processing Logic</w:t>
      </w:r>
    </w:p>
    <w:tbl>
      <w:tblPr>
        <w:tblStyle w:val="MediumShading2-Accent11"/>
        <w:tblW w:w="0" w:type="auto"/>
        <w:tblLayout w:type="fixed"/>
        <w:tblLook w:val="04A0"/>
      </w:tblPr>
      <w:tblGrid>
        <w:gridCol w:w="2988"/>
        <w:gridCol w:w="7920"/>
      </w:tblGrid>
      <w:tr w:rsidR="00A76216" w:rsidRPr="00C01E0B" w:rsidTr="00981087">
        <w:trPr>
          <w:cnfStyle w:val="100000000000"/>
          <w:trHeight w:val="477"/>
          <w:tblHeader/>
        </w:trPr>
        <w:tc>
          <w:tcPr>
            <w:cnfStyle w:val="001000000100"/>
            <w:tcW w:w="2988" w:type="dxa"/>
          </w:tcPr>
          <w:p w:rsidR="00A76216" w:rsidRPr="00C31A67" w:rsidRDefault="00A76216" w:rsidP="00506989">
            <w:r w:rsidRPr="00C31A67">
              <w:t>Step</w:t>
            </w:r>
          </w:p>
        </w:tc>
        <w:tc>
          <w:tcPr>
            <w:tcW w:w="7920" w:type="dxa"/>
          </w:tcPr>
          <w:p w:rsidR="00A76216" w:rsidRPr="00C31A67" w:rsidRDefault="00A76216" w:rsidP="00506989">
            <w:pPr>
              <w:cnfStyle w:val="100000000000"/>
            </w:pPr>
            <w:r w:rsidRPr="00C31A67">
              <w:t>Description</w:t>
            </w:r>
          </w:p>
        </w:tc>
      </w:tr>
      <w:tr w:rsidR="00A76216" w:rsidRPr="00C01E0B" w:rsidTr="00162627">
        <w:trPr>
          <w:cnfStyle w:val="000000100000"/>
        </w:trPr>
        <w:tc>
          <w:tcPr>
            <w:cnfStyle w:val="001000000000"/>
            <w:tcW w:w="2988" w:type="dxa"/>
          </w:tcPr>
          <w:p w:rsidR="00A76216" w:rsidRPr="00C01E0B" w:rsidRDefault="00697DD6" w:rsidP="00697DD6">
            <w:pPr>
              <w:pStyle w:val="ListParagraph"/>
              <w:numPr>
                <w:ilvl w:val="0"/>
                <w:numId w:val="3"/>
              </w:numPr>
            </w:pPr>
            <w:r w:rsidRPr="00C01E0B">
              <w:t xml:space="preserve">Get data rows </w:t>
            </w:r>
            <w:r w:rsidR="00A84A29">
              <w:t xml:space="preserve">that </w:t>
            </w:r>
            <w:r w:rsidRPr="00C01E0B">
              <w:t>belong to the current report</w:t>
            </w:r>
          </w:p>
        </w:tc>
        <w:tc>
          <w:tcPr>
            <w:tcW w:w="7920" w:type="dxa"/>
          </w:tcPr>
          <w:p w:rsidR="00AE7411" w:rsidRPr="00C01E0B" w:rsidRDefault="00AE7411" w:rsidP="00AE7411">
            <w:pPr>
              <w:cnfStyle w:val="000000100000"/>
            </w:pPr>
            <w:r>
              <w:t xml:space="preserve">Language selection. If one of the supported languages is </w:t>
            </w:r>
            <w:r w:rsidRPr="00BC46C3">
              <w:rPr>
                <w:b/>
                <w:i/>
              </w:rPr>
              <w:t>en-US</w:t>
            </w:r>
            <w:r>
              <w:t>, the system will use it as the preferred language to retrieve the labels (based on the preferred label role). If en-US is not one of the supported languages, the system will use the first supported language as the preferred language.</w:t>
            </w:r>
          </w:p>
          <w:p w:rsidR="00A76216" w:rsidRDefault="00A76216" w:rsidP="00506989">
            <w:pPr>
              <w:cnfStyle w:val="000000100000"/>
            </w:pPr>
          </w:p>
          <w:p w:rsidR="00DC6E05" w:rsidRDefault="00DC6E05" w:rsidP="00506989">
            <w:pPr>
              <w:cnfStyle w:val="000000100000"/>
              <w:rPr>
                <w:rFonts w:cs="Courier New"/>
                <w:noProof/>
              </w:rPr>
            </w:pPr>
            <w:r w:rsidRPr="00DC6E05">
              <w:t>For any row if the preferred label role is “negate Label”, the parser will set the node property “</w:t>
            </w:r>
            <w:proofErr w:type="spellStart"/>
            <w:r w:rsidRPr="000851B0">
              <w:rPr>
                <w:rFonts w:cs="Courier New"/>
                <w:b/>
                <w:i/>
                <w:noProof/>
              </w:rPr>
              <w:t>IsDisplayReversed</w:t>
            </w:r>
            <w:proofErr w:type="spellEnd"/>
            <w:r w:rsidRPr="00DC6E05">
              <w:rPr>
                <w:rFonts w:cs="Courier New"/>
                <w:noProof/>
              </w:rPr>
              <w:t>” to be true. This property will trigger the data to be reverse.</w:t>
            </w:r>
          </w:p>
          <w:p w:rsidR="00BC46C3" w:rsidRDefault="00BC46C3" w:rsidP="00506989">
            <w:pPr>
              <w:cnfStyle w:val="000000100000"/>
              <w:rPr>
                <w:rFonts w:cs="Courier New"/>
                <w:noProof/>
              </w:rPr>
            </w:pPr>
          </w:p>
          <w:p w:rsidR="00BC46C3" w:rsidRDefault="00BC46C3" w:rsidP="00506989">
            <w:pPr>
              <w:cnfStyle w:val="000000100000"/>
              <w:rPr>
                <w:rFonts w:cs="Courier New"/>
                <w:noProof/>
              </w:rPr>
            </w:pPr>
            <w:r>
              <w:rPr>
                <w:rFonts w:cs="Courier New"/>
                <w:noProof/>
              </w:rPr>
              <w:t xml:space="preserve">For each data row, the following </w:t>
            </w:r>
            <w:r w:rsidRPr="00E2206D">
              <w:rPr>
                <w:rFonts w:cs="Courier New"/>
                <w:b/>
                <w:i/>
                <w:noProof/>
              </w:rPr>
              <w:t>properties</w:t>
            </w:r>
            <w:r w:rsidR="00E2206D">
              <w:rPr>
                <w:rFonts w:cs="Courier New"/>
                <w:b/>
                <w:i/>
                <w:noProof/>
              </w:rPr>
              <w:t>***</w:t>
            </w:r>
            <w:r>
              <w:rPr>
                <w:rFonts w:cs="Courier New"/>
                <w:noProof/>
              </w:rPr>
              <w:t xml:space="preserve"> are captured:</w:t>
            </w:r>
          </w:p>
          <w:p w:rsidR="00622E32" w:rsidRDefault="00622E32" w:rsidP="00506989">
            <w:pPr>
              <w:cnfStyle w:val="000000100000"/>
              <w:rPr>
                <w:rFonts w:cs="Courier New"/>
                <w:noProof/>
              </w:rPr>
            </w:pPr>
          </w:p>
          <w:p w:rsidR="00BC46C3" w:rsidRDefault="00BC46C3" w:rsidP="00506989">
            <w:pPr>
              <w:cnfStyle w:val="000000100000"/>
              <w:rPr>
                <w:rFonts w:cs="Courier New"/>
                <w:noProof/>
              </w:rPr>
            </w:pPr>
            <w:r>
              <w:rPr>
                <w:rFonts w:cs="Courier New"/>
                <w:noProof/>
              </w:rPr>
              <w:t>Element Name</w:t>
            </w:r>
          </w:p>
          <w:p w:rsidR="00BC46C3" w:rsidRDefault="00BC46C3" w:rsidP="00506989">
            <w:pPr>
              <w:cnfStyle w:val="000000100000"/>
              <w:rPr>
                <w:rFonts w:cs="Courier New"/>
                <w:noProof/>
              </w:rPr>
            </w:pPr>
            <w:r>
              <w:rPr>
                <w:rFonts w:cs="Courier New"/>
                <w:noProof/>
              </w:rPr>
              <w:t>Element Prefix</w:t>
            </w:r>
          </w:p>
          <w:p w:rsidR="00BC46C3" w:rsidRDefault="00BC46C3" w:rsidP="00506989">
            <w:pPr>
              <w:cnfStyle w:val="000000100000"/>
              <w:rPr>
                <w:rFonts w:cs="Courier New"/>
                <w:noProof/>
              </w:rPr>
            </w:pPr>
            <w:r>
              <w:rPr>
                <w:rFonts w:cs="Courier New"/>
                <w:noProof/>
              </w:rPr>
              <w:t>Element Data Type</w:t>
            </w:r>
          </w:p>
          <w:p w:rsidR="00BC46C3" w:rsidRDefault="00BC46C3" w:rsidP="00506989">
            <w:pPr>
              <w:cnfStyle w:val="000000100000"/>
              <w:rPr>
                <w:rFonts w:cs="Courier New"/>
                <w:noProof/>
              </w:rPr>
            </w:pPr>
            <w:r>
              <w:rPr>
                <w:rFonts w:cs="Courier New"/>
                <w:noProof/>
              </w:rPr>
              <w:t>Element Short description</w:t>
            </w:r>
          </w:p>
          <w:p w:rsidR="00BC46C3" w:rsidRDefault="00BC46C3" w:rsidP="00506989">
            <w:pPr>
              <w:cnfStyle w:val="000000100000"/>
              <w:rPr>
                <w:rFonts w:cs="Courier New"/>
                <w:noProof/>
              </w:rPr>
            </w:pPr>
            <w:r>
              <w:rPr>
                <w:rFonts w:cs="Courier New"/>
                <w:noProof/>
              </w:rPr>
              <w:t>Parent Description</w:t>
            </w:r>
          </w:p>
          <w:p w:rsidR="00BC46C3" w:rsidRDefault="00BC46C3" w:rsidP="00506989">
            <w:pPr>
              <w:cnfStyle w:val="000000100000"/>
              <w:rPr>
                <w:rFonts w:cs="Courier New"/>
                <w:noProof/>
              </w:rPr>
            </w:pPr>
            <w:r>
              <w:rPr>
                <w:rFonts w:cs="Courier New"/>
                <w:noProof/>
              </w:rPr>
              <w:t>Is Base Element?</w:t>
            </w:r>
          </w:p>
          <w:p w:rsidR="00BC46C3" w:rsidRDefault="00BC46C3" w:rsidP="00506989">
            <w:pPr>
              <w:cnfStyle w:val="000000100000"/>
              <w:rPr>
                <w:rFonts w:cs="Courier New"/>
                <w:noProof/>
              </w:rPr>
            </w:pPr>
            <w:r>
              <w:rPr>
                <w:rFonts w:cs="Courier New"/>
                <w:noProof/>
              </w:rPr>
              <w:t>Balance Type</w:t>
            </w:r>
          </w:p>
          <w:p w:rsidR="00BC46C3" w:rsidRDefault="00BC46C3" w:rsidP="00506989">
            <w:pPr>
              <w:cnfStyle w:val="000000100000"/>
              <w:rPr>
                <w:rFonts w:cs="Courier New"/>
                <w:noProof/>
              </w:rPr>
            </w:pPr>
            <w:r>
              <w:rPr>
                <w:rFonts w:cs="Courier New"/>
                <w:noProof/>
              </w:rPr>
              <w:t>Period Type</w:t>
            </w:r>
          </w:p>
          <w:p w:rsidR="00BC46C3" w:rsidRDefault="00BC46C3" w:rsidP="00506989">
            <w:pPr>
              <w:cnfStyle w:val="000000100000"/>
              <w:rPr>
                <w:rFonts w:cs="Courier New"/>
                <w:noProof/>
              </w:rPr>
            </w:pPr>
          </w:p>
          <w:p w:rsidR="00BC46C3" w:rsidRDefault="00BC46C3" w:rsidP="00506989">
            <w:pPr>
              <w:cnfStyle w:val="000000100000"/>
              <w:rPr>
                <w:rFonts w:cs="Courier New"/>
                <w:noProof/>
              </w:rPr>
            </w:pPr>
            <w:r>
              <w:rPr>
                <w:rFonts w:cs="Courier New"/>
                <w:noProof/>
              </w:rPr>
              <w:t>Is Report Title?</w:t>
            </w:r>
          </w:p>
          <w:p w:rsidR="00BC46C3" w:rsidRDefault="00BC46C3" w:rsidP="00506989">
            <w:pPr>
              <w:cnfStyle w:val="000000100000"/>
              <w:rPr>
                <w:rFonts w:cs="Courier New"/>
                <w:noProof/>
              </w:rPr>
            </w:pPr>
            <w:r>
              <w:rPr>
                <w:rFonts w:cs="Courier New"/>
                <w:noProof/>
              </w:rPr>
              <w:t>Is Segment Title?</w:t>
            </w:r>
          </w:p>
          <w:p w:rsidR="0077160D" w:rsidRDefault="0077160D" w:rsidP="00506989">
            <w:pPr>
              <w:cnfStyle w:val="000000100000"/>
              <w:rPr>
                <w:rFonts w:cs="Courier New"/>
                <w:noProof/>
              </w:rPr>
            </w:pPr>
            <w:r>
              <w:rPr>
                <w:rFonts w:cs="Courier New"/>
                <w:noProof/>
              </w:rPr>
              <w:t>Is Abstract Group Header? (Abstract Group Header is the immediate ABSTRACT parent of the reporting line items)</w:t>
            </w:r>
          </w:p>
          <w:p w:rsidR="00BC46C3" w:rsidRDefault="00BC46C3" w:rsidP="00506989">
            <w:pPr>
              <w:cnfStyle w:val="000000100000"/>
              <w:rPr>
                <w:rFonts w:cs="Courier New"/>
                <w:noProof/>
              </w:rPr>
            </w:pPr>
          </w:p>
          <w:p w:rsidR="00BC46C3" w:rsidRDefault="00BC46C3" w:rsidP="00506989">
            <w:pPr>
              <w:cnfStyle w:val="000000100000"/>
              <w:rPr>
                <w:rFonts w:cs="Courier New"/>
                <w:noProof/>
              </w:rPr>
            </w:pPr>
            <w:r>
              <w:rPr>
                <w:rFonts w:cs="Courier New"/>
                <w:noProof/>
              </w:rPr>
              <w:t>Is Tuple?</w:t>
            </w:r>
          </w:p>
          <w:p w:rsidR="00BC46C3" w:rsidRDefault="00BC46C3" w:rsidP="00506989">
            <w:pPr>
              <w:cnfStyle w:val="000000100000"/>
              <w:rPr>
                <w:rFonts w:cs="Courier New"/>
                <w:noProof/>
              </w:rPr>
            </w:pPr>
            <w:r>
              <w:rPr>
                <w:rFonts w:cs="Courier New"/>
                <w:noProof/>
              </w:rPr>
              <w:t>Is Beginning Balance?</w:t>
            </w:r>
          </w:p>
          <w:p w:rsidR="00BC46C3" w:rsidRDefault="00BC46C3" w:rsidP="00506989">
            <w:pPr>
              <w:cnfStyle w:val="000000100000"/>
              <w:rPr>
                <w:rFonts w:cs="Courier New"/>
                <w:noProof/>
              </w:rPr>
            </w:pPr>
            <w:r>
              <w:rPr>
                <w:rFonts w:cs="Courier New"/>
                <w:noProof/>
              </w:rPr>
              <w:t>Is Ending Balance?</w:t>
            </w:r>
          </w:p>
          <w:p w:rsidR="00BC46C3" w:rsidRDefault="00BC46C3" w:rsidP="00506989">
            <w:pPr>
              <w:cnfStyle w:val="000000100000"/>
              <w:rPr>
                <w:rFonts w:cs="Courier New"/>
                <w:noProof/>
              </w:rPr>
            </w:pPr>
          </w:p>
          <w:p w:rsidR="000851B0" w:rsidRPr="00DF2D33" w:rsidRDefault="00E2206D" w:rsidP="00E2206D">
            <w:pPr>
              <w:cnfStyle w:val="000000100000"/>
              <w:rPr>
                <w:b/>
                <w:i/>
              </w:rPr>
            </w:pPr>
            <w:r w:rsidRPr="00DF2D33">
              <w:rPr>
                <w:b/>
                <w:i/>
              </w:rPr>
              <w:t xml:space="preserve">*** Some properties are used for formatting (like Is Report Title, Is Segment Title, </w:t>
            </w:r>
            <w:r w:rsidR="0077160D">
              <w:rPr>
                <w:b/>
                <w:i/>
              </w:rPr>
              <w:t xml:space="preserve">Is Abstract Group Header </w:t>
            </w:r>
            <w:r w:rsidRPr="00DF2D33">
              <w:rPr>
                <w:b/>
                <w:i/>
              </w:rPr>
              <w:t xml:space="preserve">and Is Sub Report End). Some properties are used for display additional information based on user request (like Element Name, Prefix, Balance Type, </w:t>
            </w:r>
            <w:proofErr w:type="gramStart"/>
            <w:r w:rsidRPr="00DF2D33">
              <w:rPr>
                <w:b/>
                <w:i/>
              </w:rPr>
              <w:t>Period</w:t>
            </w:r>
            <w:proofErr w:type="gramEnd"/>
            <w:r w:rsidRPr="00DF2D33">
              <w:rPr>
                <w:b/>
                <w:i/>
              </w:rPr>
              <w:t xml:space="preserve"> Type and Is Base Element).</w:t>
            </w:r>
          </w:p>
        </w:tc>
      </w:tr>
      <w:tr w:rsidR="00A76216" w:rsidRPr="00C01E0B" w:rsidTr="00162627">
        <w:tc>
          <w:tcPr>
            <w:cnfStyle w:val="001000000000"/>
            <w:tcW w:w="2988" w:type="dxa"/>
          </w:tcPr>
          <w:p w:rsidR="00A76216" w:rsidRPr="00C01E0B" w:rsidRDefault="00697DD6" w:rsidP="00697DD6">
            <w:pPr>
              <w:pStyle w:val="ListParagraph"/>
              <w:numPr>
                <w:ilvl w:val="0"/>
                <w:numId w:val="3"/>
              </w:numPr>
            </w:pPr>
            <w:r w:rsidRPr="00C01E0B">
              <w:lastRenderedPageBreak/>
              <w:t xml:space="preserve">Get data columns </w:t>
            </w:r>
            <w:r w:rsidR="00A84A29">
              <w:t xml:space="preserve">that </w:t>
            </w:r>
            <w:r w:rsidRPr="00C01E0B">
              <w:t>belong to the current report</w:t>
            </w:r>
          </w:p>
        </w:tc>
        <w:tc>
          <w:tcPr>
            <w:tcW w:w="7920" w:type="dxa"/>
          </w:tcPr>
          <w:p w:rsidR="00A76216" w:rsidRDefault="00697DD6" w:rsidP="00697DD6">
            <w:pPr>
              <w:cnfStyle w:val="000000000000"/>
            </w:pPr>
            <w:r w:rsidRPr="00C01E0B">
              <w:t xml:space="preserve">If the column contains dimension members, use the information built from </w:t>
            </w:r>
            <w:r w:rsidRPr="00C01E0B">
              <w:rPr>
                <w:b/>
                <w:u w:val="single"/>
              </w:rPr>
              <w:t>Table 1 Step 5</w:t>
            </w:r>
            <w:r w:rsidRPr="00C01E0B">
              <w:t xml:space="preserve"> to determine if the column belong</w:t>
            </w:r>
            <w:r w:rsidR="00F74F32">
              <w:t xml:space="preserve">s </w:t>
            </w:r>
            <w:r w:rsidRPr="00C01E0B">
              <w:t>in the current report</w:t>
            </w:r>
          </w:p>
          <w:p w:rsidR="005133CB" w:rsidRPr="00C01E0B" w:rsidRDefault="005133CB" w:rsidP="00697DD6">
            <w:pPr>
              <w:cnfStyle w:val="000000000000"/>
            </w:pPr>
          </w:p>
          <w:p w:rsidR="00697DD6" w:rsidRPr="00C01E0B" w:rsidRDefault="00697DD6" w:rsidP="00697DD6">
            <w:pPr>
              <w:cnfStyle w:val="000000000000"/>
            </w:pPr>
            <w:r w:rsidRPr="00C01E0B">
              <w:t>A dimension column would</w:t>
            </w:r>
            <w:r w:rsidR="00F74F32">
              <w:t xml:space="preserve"> belong to the current report when</w:t>
            </w:r>
            <w:r w:rsidRPr="00C01E0B">
              <w:t>:</w:t>
            </w:r>
          </w:p>
          <w:p w:rsidR="00697DD6" w:rsidRPr="00C01E0B" w:rsidRDefault="00697DD6" w:rsidP="00697DD6">
            <w:pPr>
              <w:pStyle w:val="ListParagraph"/>
              <w:numPr>
                <w:ilvl w:val="0"/>
                <w:numId w:val="4"/>
              </w:numPr>
              <w:cnfStyle w:val="000000000000"/>
            </w:pPr>
            <w:r w:rsidRPr="00C01E0B">
              <w:t>The dimension member is from the common dimensions (like 190000)</w:t>
            </w:r>
            <w:r w:rsidR="00F74F32">
              <w:t xml:space="preserve"> or</w:t>
            </w:r>
          </w:p>
          <w:p w:rsidR="00F80FFE" w:rsidRDefault="00697DD6" w:rsidP="00E561AC">
            <w:pPr>
              <w:pStyle w:val="ListParagraph"/>
              <w:numPr>
                <w:ilvl w:val="0"/>
                <w:numId w:val="4"/>
              </w:numPr>
              <w:cnfStyle w:val="000000000000"/>
            </w:pPr>
            <w:r w:rsidRPr="00C01E0B">
              <w:t>The dimension member is from a dimension that belong</w:t>
            </w:r>
            <w:r w:rsidR="00F74F32">
              <w:t>s</w:t>
            </w:r>
            <w:r w:rsidRPr="00C01E0B">
              <w:t xml:space="preserve"> specifically to the current report</w:t>
            </w:r>
          </w:p>
          <w:p w:rsidR="006919D3" w:rsidRPr="00C01E0B" w:rsidRDefault="006919D3" w:rsidP="007761A8">
            <w:pPr>
              <w:pStyle w:val="ListParagraph"/>
              <w:cnfStyle w:val="000000000000"/>
            </w:pPr>
          </w:p>
        </w:tc>
      </w:tr>
      <w:tr w:rsidR="00697DD6" w:rsidRPr="00C01E0B" w:rsidTr="00162627">
        <w:trPr>
          <w:cnfStyle w:val="000000100000"/>
        </w:trPr>
        <w:tc>
          <w:tcPr>
            <w:cnfStyle w:val="001000000000"/>
            <w:tcW w:w="2988" w:type="dxa"/>
          </w:tcPr>
          <w:p w:rsidR="00697DD6" w:rsidRPr="00C01E0B" w:rsidRDefault="00FF3F5F" w:rsidP="00FF3F5F">
            <w:pPr>
              <w:pStyle w:val="ListParagraph"/>
              <w:numPr>
                <w:ilvl w:val="0"/>
                <w:numId w:val="3"/>
              </w:numPr>
            </w:pPr>
            <w:r w:rsidRPr="00C01E0B">
              <w:t>Promote shared labels to the report title</w:t>
            </w:r>
          </w:p>
        </w:tc>
        <w:tc>
          <w:tcPr>
            <w:tcW w:w="7920" w:type="dxa"/>
          </w:tcPr>
          <w:p w:rsidR="00697DD6" w:rsidRPr="00C01E0B" w:rsidRDefault="00657A20" w:rsidP="00506989">
            <w:pPr>
              <w:cnfStyle w:val="000000100000"/>
            </w:pPr>
            <w:r w:rsidRPr="00C01E0B">
              <w:t>If all colum</w:t>
            </w:r>
            <w:r w:rsidR="00BD292D" w:rsidRPr="00C01E0B">
              <w:t>ns share the same currency code</w:t>
            </w:r>
            <w:r w:rsidRPr="00C01E0B">
              <w:t xml:space="preserve">, promote the currency code (delete the currency code from </w:t>
            </w:r>
            <w:r w:rsidR="00113DB4" w:rsidRPr="00C01E0B">
              <w:t>individual</w:t>
            </w:r>
            <w:r w:rsidRPr="00C01E0B">
              <w:t xml:space="preserve"> column header)</w:t>
            </w:r>
          </w:p>
          <w:p w:rsidR="00657A20" w:rsidRPr="00C01E0B" w:rsidRDefault="00657A20" w:rsidP="00506989">
            <w:pPr>
              <w:cnfStyle w:val="000000100000"/>
            </w:pPr>
          </w:p>
          <w:p w:rsidR="00657A20" w:rsidRDefault="00657A20" w:rsidP="00E561AC">
            <w:pPr>
              <w:cnfStyle w:val="000000100000"/>
            </w:pPr>
            <w:r w:rsidRPr="00C01E0B">
              <w:t xml:space="preserve">If all columns share the same segment(s)/scenario(s), promote the label (delete the segment(s)/scenario(s)  from </w:t>
            </w:r>
            <w:r w:rsidR="00113DB4" w:rsidRPr="00C01E0B">
              <w:t>individual</w:t>
            </w:r>
            <w:r w:rsidRPr="00C01E0B">
              <w:t xml:space="preserve"> column header)</w:t>
            </w:r>
          </w:p>
          <w:p w:rsidR="006919D3" w:rsidRPr="00C01E0B" w:rsidRDefault="006919D3" w:rsidP="00E561AC">
            <w:pPr>
              <w:cnfStyle w:val="000000100000"/>
            </w:pPr>
          </w:p>
        </w:tc>
      </w:tr>
      <w:tr w:rsidR="00CA31DB" w:rsidRPr="00C01E0B" w:rsidTr="00162627">
        <w:tc>
          <w:tcPr>
            <w:cnfStyle w:val="001000000000"/>
            <w:tcW w:w="2988" w:type="dxa"/>
          </w:tcPr>
          <w:p w:rsidR="00CA31DB" w:rsidRPr="00C01E0B" w:rsidRDefault="00CA31DB" w:rsidP="00FF3F5F">
            <w:pPr>
              <w:pStyle w:val="ListParagraph"/>
              <w:numPr>
                <w:ilvl w:val="0"/>
                <w:numId w:val="3"/>
              </w:numPr>
            </w:pPr>
            <w:r w:rsidRPr="00C01E0B">
              <w:t>Merge instance and duration column</w:t>
            </w:r>
          </w:p>
        </w:tc>
        <w:tc>
          <w:tcPr>
            <w:tcW w:w="7920" w:type="dxa"/>
          </w:tcPr>
          <w:p w:rsidR="00B77870" w:rsidRPr="00C01E0B" w:rsidRDefault="005B69B3" w:rsidP="00506989">
            <w:pPr>
              <w:cnfStyle w:val="000000000000"/>
            </w:pPr>
            <w:r w:rsidRPr="00C01E0B">
              <w:t>Merge the instance column that:</w:t>
            </w:r>
          </w:p>
          <w:p w:rsidR="00BD292D" w:rsidRPr="00C01E0B" w:rsidRDefault="00BD292D" w:rsidP="00506989">
            <w:pPr>
              <w:cnfStyle w:val="000000000000"/>
            </w:pPr>
          </w:p>
          <w:p w:rsidR="00B77870" w:rsidRPr="00C01E0B" w:rsidRDefault="00B77870" w:rsidP="00506989">
            <w:pPr>
              <w:cnfStyle w:val="000000000000"/>
            </w:pPr>
            <w:r w:rsidRPr="00C01E0B">
              <w:t xml:space="preserve">(1) </w:t>
            </w:r>
            <w:r w:rsidR="00CA31DB" w:rsidRPr="00C01E0B">
              <w:t>has the As-Of-Date the same as the Period-End-Date of a duration column</w:t>
            </w:r>
            <w:r w:rsidR="00656A84" w:rsidRPr="00C01E0B">
              <w:t>,</w:t>
            </w:r>
            <w:r w:rsidR="00D658AA" w:rsidRPr="00C01E0B">
              <w:t xml:space="preserve"> </w:t>
            </w:r>
            <w:r w:rsidR="00B9793F" w:rsidRPr="00C01E0B">
              <w:t xml:space="preserve"> and</w:t>
            </w:r>
          </w:p>
          <w:p w:rsidR="00A52150" w:rsidRDefault="00B77870" w:rsidP="00E561AC">
            <w:pPr>
              <w:cnfStyle w:val="000000000000"/>
            </w:pPr>
            <w:r w:rsidRPr="00C01E0B">
              <w:t xml:space="preserve"> (2) has the same segment(s)/scenario(s) </w:t>
            </w:r>
            <w:r w:rsidR="000D00B6" w:rsidRPr="00C01E0B">
              <w:t>as the duration column</w:t>
            </w:r>
          </w:p>
          <w:p w:rsidR="006919D3" w:rsidRPr="00C01E0B" w:rsidRDefault="006919D3" w:rsidP="00E561AC">
            <w:pPr>
              <w:cnfStyle w:val="000000000000"/>
            </w:pPr>
          </w:p>
        </w:tc>
      </w:tr>
      <w:tr w:rsidR="007761A8" w:rsidRPr="00C01E0B" w:rsidTr="00162627">
        <w:trPr>
          <w:cnfStyle w:val="000000100000"/>
        </w:trPr>
        <w:tc>
          <w:tcPr>
            <w:cnfStyle w:val="001000000000"/>
            <w:tcW w:w="2988" w:type="dxa"/>
          </w:tcPr>
          <w:p w:rsidR="007761A8" w:rsidRPr="00C01E0B" w:rsidRDefault="007761A8" w:rsidP="00FF3F5F">
            <w:pPr>
              <w:pStyle w:val="ListParagraph"/>
              <w:numPr>
                <w:ilvl w:val="0"/>
                <w:numId w:val="3"/>
              </w:numPr>
            </w:pPr>
            <w:r>
              <w:t>Process Rounding</w:t>
            </w:r>
          </w:p>
        </w:tc>
        <w:tc>
          <w:tcPr>
            <w:tcW w:w="7920" w:type="dxa"/>
          </w:tcPr>
          <w:p w:rsidR="007761A8" w:rsidRDefault="007761A8" w:rsidP="00506989">
            <w:pPr>
              <w:cnfStyle w:val="000000100000"/>
            </w:pPr>
            <w:r>
              <w:t xml:space="preserve">We support </w:t>
            </w:r>
            <w:r w:rsidR="00390391">
              <w:t xml:space="preserve">the following </w:t>
            </w:r>
            <w:r>
              <w:t>rounding options:</w:t>
            </w:r>
          </w:p>
          <w:p w:rsidR="007761A8" w:rsidRDefault="007761A8" w:rsidP="00506989">
            <w:pPr>
              <w:cnfStyle w:val="000000100000"/>
            </w:pPr>
          </w:p>
          <w:p w:rsidR="007761A8" w:rsidRPr="0068508C" w:rsidRDefault="007761A8" w:rsidP="00D72B9D">
            <w:pPr>
              <w:pStyle w:val="ListParagraph"/>
              <w:numPr>
                <w:ilvl w:val="0"/>
                <w:numId w:val="6"/>
              </w:numPr>
              <w:autoSpaceDE w:val="0"/>
              <w:autoSpaceDN w:val="0"/>
              <w:adjustRightInd w:val="0"/>
              <w:cnfStyle w:val="000000100000"/>
              <w:rPr>
                <w:rFonts w:cs="Courier New"/>
                <w:b/>
                <w:noProof/>
              </w:rPr>
            </w:pPr>
            <w:r w:rsidRPr="00BB1954">
              <w:t xml:space="preserve">Round to </w:t>
            </w:r>
            <w:r w:rsidR="0068508C">
              <w:t>billions/</w:t>
            </w:r>
            <w:r w:rsidRPr="00BB1954">
              <w:t>millions</w:t>
            </w:r>
            <w:r w:rsidR="0068508C">
              <w:t>/thousands</w:t>
            </w:r>
            <w:r w:rsidRPr="00BB1954">
              <w:t xml:space="preserve"> (whole number) – when all monetary-type facts </w:t>
            </w:r>
            <w:r w:rsidR="002C2A9F">
              <w:t xml:space="preserve">have the decimals specified correctly; for example, millions = -6, thousand = -3 </w:t>
            </w:r>
            <w:r w:rsidR="001506A0" w:rsidRPr="00A84A29">
              <w:rPr>
                <w:rFonts w:cs="Courier New"/>
                <w:noProof/>
              </w:rPr>
              <w:t xml:space="preserve">– the rounding option would be </w:t>
            </w:r>
            <w:r w:rsidR="0068508C" w:rsidRPr="00A84A29">
              <w:rPr>
                <w:rFonts w:cs="Courier New"/>
                <w:b/>
                <w:noProof/>
              </w:rPr>
              <w:t xml:space="preserve">“In billions”, </w:t>
            </w:r>
            <w:r w:rsidR="001506A0" w:rsidRPr="00A84A29">
              <w:rPr>
                <w:rFonts w:cs="Courier New"/>
                <w:b/>
                <w:noProof/>
              </w:rPr>
              <w:t>“In millions”</w:t>
            </w:r>
            <w:r w:rsidR="0068508C" w:rsidRPr="00A84A29">
              <w:rPr>
                <w:rFonts w:cs="Courier New"/>
                <w:b/>
                <w:noProof/>
              </w:rPr>
              <w:t>, “In thousands”.</w:t>
            </w:r>
            <w:r w:rsidR="00506989" w:rsidRPr="00A84A29">
              <w:rPr>
                <w:rFonts w:cs="Courier New"/>
                <w:b/>
                <w:noProof/>
              </w:rPr>
              <w:t xml:space="preserve">   </w:t>
            </w:r>
            <w:r w:rsidR="000514BF">
              <w:rPr>
                <w:rFonts w:cs="Courier New"/>
                <w:noProof/>
              </w:rPr>
              <w:t xml:space="preserve">An exception exists, when there is a </w:t>
            </w:r>
            <w:r w:rsidR="000514BF" w:rsidRPr="000514BF">
              <w:rPr>
                <w:rFonts w:cs="Courier New"/>
                <w:noProof/>
              </w:rPr>
              <w:t xml:space="preserve"> mixture of -6 and -3, then </w:t>
            </w:r>
            <w:r w:rsidR="000514BF">
              <w:rPr>
                <w:rFonts w:cs="Courier New"/>
                <w:noProof/>
              </w:rPr>
              <w:t>the system will round to thousands.</w:t>
            </w:r>
            <w:r w:rsidR="003A34A0">
              <w:rPr>
                <w:rFonts w:cs="Courier New"/>
                <w:noProof/>
              </w:rPr>
              <w:t xml:space="preserve">  </w:t>
            </w:r>
          </w:p>
          <w:p w:rsidR="00D72B9D" w:rsidRPr="0068508C" w:rsidRDefault="007761A8" w:rsidP="00FA4EF7">
            <w:pPr>
              <w:pStyle w:val="ListParagraph"/>
              <w:numPr>
                <w:ilvl w:val="0"/>
                <w:numId w:val="6"/>
              </w:numPr>
              <w:autoSpaceDE w:val="0"/>
              <w:autoSpaceDN w:val="0"/>
              <w:adjustRightInd w:val="0"/>
              <w:cnfStyle w:val="000000100000"/>
              <w:rPr>
                <w:rFonts w:cs="Courier New"/>
                <w:b/>
                <w:noProof/>
              </w:rPr>
            </w:pPr>
            <w:r w:rsidRPr="00BB1954">
              <w:t xml:space="preserve">Round to </w:t>
            </w:r>
            <w:r w:rsidR="0068508C">
              <w:t>billions/</w:t>
            </w:r>
            <w:r w:rsidR="0068508C" w:rsidRPr="00BB1954">
              <w:t xml:space="preserve">millions </w:t>
            </w:r>
            <w:r w:rsidRPr="00BB1954">
              <w:t xml:space="preserve">(one decimal point) </w:t>
            </w:r>
            <w:r w:rsidR="00D72B9D">
              <w:t xml:space="preserve">-- </w:t>
            </w:r>
            <w:r w:rsidR="00D72B9D" w:rsidRPr="00BB1954">
              <w:t xml:space="preserve">when all monetary-type facts </w:t>
            </w:r>
            <w:r w:rsidR="00D72B9D">
              <w:t xml:space="preserve">have the decimals specified correctly; for example, millions with one decimal point = -5, </w:t>
            </w:r>
            <w:r w:rsidR="00CB1C25">
              <w:t>billions with one decimal point = -8</w:t>
            </w:r>
            <w:r w:rsidR="00D72B9D" w:rsidRPr="00A84A29">
              <w:rPr>
                <w:rFonts w:cs="Courier New"/>
                <w:noProof/>
              </w:rPr>
              <w:t xml:space="preserve"> – the rounding option would be</w:t>
            </w:r>
            <w:r w:rsidR="00D72B9D" w:rsidRPr="00A84A29">
              <w:rPr>
                <w:rFonts w:cs="Courier New"/>
                <w:b/>
                <w:noProof/>
              </w:rPr>
              <w:t xml:space="preserve"> “In billions”, “In millions</w:t>
            </w:r>
            <w:r w:rsidR="00CB1C25">
              <w:rPr>
                <w:rFonts w:cs="Courier New"/>
                <w:b/>
                <w:noProof/>
              </w:rPr>
              <w:t>”.</w:t>
            </w:r>
            <w:r w:rsidR="00506989" w:rsidRPr="00A84A29">
              <w:rPr>
                <w:rFonts w:cs="Courier New"/>
                <w:b/>
                <w:noProof/>
              </w:rPr>
              <w:t xml:space="preserve"> </w:t>
            </w:r>
            <w:r w:rsidR="00F60B0D">
              <w:rPr>
                <w:rFonts w:cs="Courier New"/>
                <w:b/>
                <w:noProof/>
              </w:rPr>
              <w:t xml:space="preserve"> </w:t>
            </w:r>
            <w:r w:rsidR="00F60B0D" w:rsidRPr="00F60B0D">
              <w:rPr>
                <w:rFonts w:cs="Courier New"/>
                <w:noProof/>
              </w:rPr>
              <w:t>The values will display with one digit to the right of the decimal place (i.e. 1,232.4)</w:t>
            </w:r>
            <w:r w:rsidR="00F60B0D">
              <w:rPr>
                <w:rFonts w:cs="Courier New"/>
                <w:noProof/>
              </w:rPr>
              <w:t xml:space="preserve">.   We do not support rounding for hundred so using -2 will produce no rounding.  </w:t>
            </w:r>
          </w:p>
          <w:p w:rsidR="00FA4EF7" w:rsidRPr="0068508C" w:rsidRDefault="00737837" w:rsidP="00506989">
            <w:pPr>
              <w:pStyle w:val="ListParagraph"/>
              <w:numPr>
                <w:ilvl w:val="0"/>
                <w:numId w:val="6"/>
              </w:numPr>
              <w:autoSpaceDE w:val="0"/>
              <w:autoSpaceDN w:val="0"/>
              <w:adjustRightInd w:val="0"/>
              <w:cnfStyle w:val="000000100000"/>
              <w:rPr>
                <w:rFonts w:cs="Courier New"/>
                <w:b/>
                <w:noProof/>
              </w:rPr>
            </w:pPr>
            <w:r>
              <w:t>I</w:t>
            </w:r>
            <w:r w:rsidR="00FA4EF7">
              <w:t>f the report contains items with unit ref defined as “USD/Shares”</w:t>
            </w:r>
            <w:r w:rsidR="00F60B0D">
              <w:t xml:space="preserve"> or a </w:t>
            </w:r>
            <w:proofErr w:type="spellStart"/>
            <w:r w:rsidR="00F60B0D">
              <w:t>perShare</w:t>
            </w:r>
            <w:proofErr w:type="spellEnd"/>
            <w:r w:rsidR="00F60B0D">
              <w:t xml:space="preserve"> item type</w:t>
            </w:r>
            <w:r w:rsidR="00FA4EF7">
              <w:t>, then the</w:t>
            </w:r>
            <w:r w:rsidR="00FA4EF7" w:rsidRPr="00A84A29">
              <w:rPr>
                <w:rFonts w:cs="Courier New"/>
                <w:noProof/>
              </w:rPr>
              <w:t xml:space="preserve"> rounding option would be</w:t>
            </w:r>
            <w:r w:rsidR="00FA4EF7" w:rsidRPr="00A84A29">
              <w:rPr>
                <w:rFonts w:cs="Courier New"/>
                <w:b/>
                <w:noProof/>
              </w:rPr>
              <w:t xml:space="preserve"> “In billions, except per share data”, “In millions, except per share data”, “In thousands, except per share data”.</w:t>
            </w:r>
            <w:r w:rsidR="00506989" w:rsidRPr="00A84A29">
              <w:rPr>
                <w:rFonts w:cs="Courier New"/>
                <w:b/>
                <w:noProof/>
              </w:rPr>
              <w:t xml:space="preserve"> </w:t>
            </w:r>
          </w:p>
          <w:p w:rsidR="00F60B0D" w:rsidRDefault="00F60B0D" w:rsidP="00506989">
            <w:pPr>
              <w:pStyle w:val="ListParagraph"/>
              <w:numPr>
                <w:ilvl w:val="0"/>
                <w:numId w:val="6"/>
              </w:numPr>
              <w:autoSpaceDE w:val="0"/>
              <w:autoSpaceDN w:val="0"/>
              <w:adjustRightInd w:val="0"/>
              <w:cnfStyle w:val="000000100000"/>
              <w:rPr>
                <w:rFonts w:cs="Courier New"/>
                <w:b/>
                <w:noProof/>
              </w:rPr>
            </w:pPr>
            <w:r>
              <w:t>I</w:t>
            </w:r>
            <w:r w:rsidR="006915F1">
              <w:t>f the report contains items with unit ref defined as “Shares”, and the shares type data have a different rounding option then the</w:t>
            </w:r>
            <w:r w:rsidR="006915F1" w:rsidRPr="00A84A29">
              <w:rPr>
                <w:rFonts w:cs="Courier New"/>
                <w:noProof/>
              </w:rPr>
              <w:t xml:space="preserve"> rounding option would be something like</w:t>
            </w:r>
            <w:r w:rsidR="006915F1" w:rsidRPr="00A84A29">
              <w:rPr>
                <w:rFonts w:cs="Courier New"/>
                <w:b/>
                <w:noProof/>
              </w:rPr>
              <w:t xml:space="preserve"> “In billions, except share data in billions”, “In millions, except share data in thousands.</w:t>
            </w:r>
            <w:r w:rsidR="00A84A29">
              <w:rPr>
                <w:rFonts w:cs="Courier New"/>
                <w:b/>
                <w:noProof/>
              </w:rPr>
              <w:t>”</w:t>
            </w:r>
            <w:r w:rsidR="00506989" w:rsidRPr="00A84A29">
              <w:rPr>
                <w:rFonts w:cs="Courier New"/>
                <w:b/>
                <w:noProof/>
              </w:rPr>
              <w:t xml:space="preserve"> </w:t>
            </w:r>
            <w:r w:rsidR="003A34A0">
              <w:rPr>
                <w:rFonts w:cs="Courier New"/>
                <w:b/>
                <w:noProof/>
              </w:rPr>
              <w:t xml:space="preserve"> </w:t>
            </w:r>
            <w:r w:rsidR="003A34A0" w:rsidRPr="003A34A0">
              <w:rPr>
                <w:rFonts w:cs="Courier New"/>
                <w:noProof/>
              </w:rPr>
              <w:t>If the report contains only shares, then the rounding would be equivalent to rule 1, ie , “In billions”, “In millions</w:t>
            </w:r>
            <w:r w:rsidR="003A34A0">
              <w:rPr>
                <w:rFonts w:cs="Courier New"/>
                <w:noProof/>
              </w:rPr>
              <w:t>.</w:t>
            </w:r>
            <w:r w:rsidR="003A34A0" w:rsidRPr="003A34A0">
              <w:rPr>
                <w:rFonts w:cs="Courier New"/>
                <w:noProof/>
              </w:rPr>
              <w:t>”</w:t>
            </w:r>
          </w:p>
          <w:p w:rsidR="00506989" w:rsidRDefault="003A34A0" w:rsidP="00506989">
            <w:pPr>
              <w:pStyle w:val="ListParagraph"/>
              <w:numPr>
                <w:ilvl w:val="0"/>
                <w:numId w:val="6"/>
              </w:numPr>
              <w:autoSpaceDE w:val="0"/>
              <w:autoSpaceDN w:val="0"/>
              <w:adjustRightInd w:val="0"/>
              <w:cnfStyle w:val="000000100000"/>
              <w:rPr>
                <w:rFonts w:cs="Courier New"/>
                <w:b/>
                <w:noProof/>
              </w:rPr>
            </w:pPr>
            <w:r>
              <w:rPr>
                <w:rFonts w:cs="Courier New"/>
                <w:noProof/>
              </w:rPr>
              <w:t>When a report contains monetary, shares, and per share data,</w:t>
            </w:r>
            <w:r w:rsidR="000A14F2">
              <w:rPr>
                <w:rFonts w:cs="Courier New"/>
                <w:noProof/>
              </w:rPr>
              <w:t xml:space="preserve"> and the monetary and shares have different precisions, </w:t>
            </w:r>
            <w:r>
              <w:rPr>
                <w:rFonts w:cs="Courier New"/>
                <w:noProof/>
              </w:rPr>
              <w:t xml:space="preserve"> w</w:t>
            </w:r>
            <w:r w:rsidR="00506989" w:rsidRPr="00A84A29">
              <w:rPr>
                <w:rFonts w:cs="Courier New"/>
                <w:noProof/>
              </w:rPr>
              <w:t>e will append to the end of each rounding option the phrase “ or otherwise specified”.  For example, the complete phrase would read “In billions, except share data in millions or otherwise specified”</w:t>
            </w:r>
            <w:r w:rsidR="00506989" w:rsidRPr="00A84A29">
              <w:rPr>
                <w:rFonts w:cs="Courier New"/>
                <w:b/>
                <w:noProof/>
              </w:rPr>
              <w:t xml:space="preserve">.  </w:t>
            </w:r>
          </w:p>
          <w:p w:rsidR="00BB1954" w:rsidRDefault="00BB1954" w:rsidP="00BB1954">
            <w:pPr>
              <w:pStyle w:val="ListParagraph"/>
              <w:numPr>
                <w:ilvl w:val="0"/>
                <w:numId w:val="6"/>
              </w:numPr>
              <w:cnfStyle w:val="000000100000"/>
            </w:pPr>
            <w:r>
              <w:lastRenderedPageBreak/>
              <w:t>No rounding – when the system cannot find one of the above rule to processing rounding, the rounding option will be set to No Rounding.</w:t>
            </w:r>
            <w:r w:rsidR="00B22873">
              <w:t xml:space="preserve"> For example, the disclosure that only contain</w:t>
            </w:r>
            <w:r w:rsidR="0002709F">
              <w:t>s</w:t>
            </w:r>
            <w:r w:rsidR="00B22873">
              <w:t xml:space="preserve"> text blocks would not have rounding option displayed in the report header.</w:t>
            </w:r>
          </w:p>
          <w:p w:rsidR="00BB1954" w:rsidRPr="00C01E0B" w:rsidRDefault="00BB1954" w:rsidP="00B24A27">
            <w:pPr>
              <w:pStyle w:val="ListParagraph"/>
              <w:cnfStyle w:val="000000100000"/>
            </w:pPr>
          </w:p>
        </w:tc>
      </w:tr>
      <w:tr w:rsidR="00F74F32" w:rsidRPr="00C01E0B" w:rsidTr="00162627">
        <w:tc>
          <w:tcPr>
            <w:cnfStyle w:val="001000000000"/>
            <w:tcW w:w="2988" w:type="dxa"/>
          </w:tcPr>
          <w:p w:rsidR="00F74F32" w:rsidRPr="00C01E0B" w:rsidRDefault="009C5E70" w:rsidP="00FF3F5F">
            <w:pPr>
              <w:pStyle w:val="ListParagraph"/>
              <w:numPr>
                <w:ilvl w:val="0"/>
                <w:numId w:val="3"/>
              </w:numPr>
            </w:pPr>
            <w:r>
              <w:lastRenderedPageBreak/>
              <w:t>Insert Underlines</w:t>
            </w:r>
          </w:p>
        </w:tc>
        <w:tc>
          <w:tcPr>
            <w:tcW w:w="7920" w:type="dxa"/>
          </w:tcPr>
          <w:p w:rsidR="00F74F32" w:rsidRPr="00C01E0B" w:rsidRDefault="009C5E70" w:rsidP="009C5E70">
            <w:pPr>
              <w:cnfStyle w:val="000000000000"/>
            </w:pPr>
            <w:r>
              <w:t xml:space="preserve">If the monetary element on the row has a preferred label role defined as “total” or “negated total”, insert an underline below each value in the row. </w:t>
            </w:r>
          </w:p>
        </w:tc>
      </w:tr>
      <w:tr w:rsidR="009C5E70" w:rsidRPr="00C01E0B" w:rsidTr="00162627">
        <w:trPr>
          <w:cnfStyle w:val="000000100000"/>
        </w:trPr>
        <w:tc>
          <w:tcPr>
            <w:cnfStyle w:val="001000000000"/>
            <w:tcW w:w="2988" w:type="dxa"/>
          </w:tcPr>
          <w:p w:rsidR="009C5E70" w:rsidRPr="00C01E0B" w:rsidRDefault="009C5E70" w:rsidP="00FF3F5F">
            <w:pPr>
              <w:pStyle w:val="ListParagraph"/>
              <w:numPr>
                <w:ilvl w:val="0"/>
                <w:numId w:val="3"/>
              </w:numPr>
            </w:pPr>
            <w:r>
              <w:t>Insert currency symbols</w:t>
            </w:r>
          </w:p>
        </w:tc>
        <w:tc>
          <w:tcPr>
            <w:tcW w:w="7920" w:type="dxa"/>
          </w:tcPr>
          <w:p w:rsidR="009C5E70" w:rsidRPr="00C01E0B" w:rsidRDefault="009C5E70" w:rsidP="009C5E70">
            <w:pPr>
              <w:cnfStyle w:val="000000100000"/>
            </w:pPr>
            <w:r>
              <w:t>Add currency symbols to the first and last monetary items and to any earnings per share items (defined as having a unit ref with currency/shares).</w:t>
            </w:r>
          </w:p>
        </w:tc>
      </w:tr>
      <w:tr w:rsidR="0016342A" w:rsidRPr="00C01E0B" w:rsidTr="00162627">
        <w:tc>
          <w:tcPr>
            <w:cnfStyle w:val="001000000000"/>
            <w:tcW w:w="2988" w:type="dxa"/>
          </w:tcPr>
          <w:p w:rsidR="0016342A" w:rsidRPr="00C01E0B" w:rsidRDefault="0016342A" w:rsidP="00FF3F5F">
            <w:pPr>
              <w:pStyle w:val="ListParagraph"/>
              <w:numPr>
                <w:ilvl w:val="0"/>
                <w:numId w:val="3"/>
              </w:numPr>
            </w:pPr>
            <w:r w:rsidRPr="00C01E0B">
              <w:t>Process Segments</w:t>
            </w:r>
          </w:p>
        </w:tc>
        <w:tc>
          <w:tcPr>
            <w:tcW w:w="7920" w:type="dxa"/>
          </w:tcPr>
          <w:p w:rsidR="00766958" w:rsidRPr="00C01E0B" w:rsidRDefault="0016342A" w:rsidP="00506989">
            <w:pPr>
              <w:cnfStyle w:val="000000000000"/>
            </w:pPr>
            <w:r w:rsidRPr="00C01E0B">
              <w:t xml:space="preserve">If the report contains segments, and satisfy either one of the following </w:t>
            </w:r>
            <w:r w:rsidR="00F93CE5" w:rsidRPr="00C01E0B">
              <w:t xml:space="preserve">two </w:t>
            </w:r>
            <w:r w:rsidRPr="00C01E0B">
              <w:t xml:space="preserve">conditions, </w:t>
            </w:r>
            <w:r w:rsidR="00A84A29">
              <w:t xml:space="preserve">we </w:t>
            </w:r>
            <w:r w:rsidRPr="00C01E0B">
              <w:t>will render the report in a “vertical” format that would list the “consolidated” facts first</w:t>
            </w:r>
            <w:r w:rsidR="00E5214D" w:rsidRPr="00C01E0B">
              <w:t xml:space="preserve"> (if existed)</w:t>
            </w:r>
            <w:r w:rsidRPr="00C01E0B">
              <w:t xml:space="preserve">, then display the “segmented” facts. The segmented facts would be </w:t>
            </w:r>
            <w:r w:rsidRPr="00C01E0B">
              <w:rPr>
                <w:u w:val="single"/>
              </w:rPr>
              <w:t>grouped</w:t>
            </w:r>
            <w:r w:rsidRPr="00C01E0B">
              <w:t xml:space="preserve"> and </w:t>
            </w:r>
            <w:r w:rsidRPr="00C01E0B">
              <w:rPr>
                <w:u w:val="single"/>
              </w:rPr>
              <w:t>sorted</w:t>
            </w:r>
            <w:r w:rsidRPr="00C01E0B">
              <w:t xml:space="preserve"> by the segment display label.</w:t>
            </w:r>
            <w:r w:rsidR="00766958" w:rsidRPr="00C01E0B">
              <w:t xml:space="preserve"> </w:t>
            </w:r>
          </w:p>
          <w:p w:rsidR="00766958" w:rsidRPr="00C01E0B" w:rsidRDefault="00766958" w:rsidP="00506989">
            <w:pPr>
              <w:cnfStyle w:val="000000000000"/>
            </w:pPr>
          </w:p>
          <w:p w:rsidR="0016342A" w:rsidRPr="00C01E0B" w:rsidRDefault="00766958" w:rsidP="00506989">
            <w:pPr>
              <w:cnfStyle w:val="000000000000"/>
            </w:pPr>
            <w:r w:rsidRPr="00C01E0B">
              <w:t>Two conditions:</w:t>
            </w:r>
          </w:p>
          <w:p w:rsidR="00766958" w:rsidRPr="00C01E0B" w:rsidRDefault="00766958" w:rsidP="00506989">
            <w:pPr>
              <w:cnfStyle w:val="000000000000"/>
            </w:pPr>
          </w:p>
          <w:p w:rsidR="0016342A" w:rsidRPr="00C01E0B" w:rsidRDefault="00766958" w:rsidP="00766958">
            <w:pPr>
              <w:pStyle w:val="ListParagraph"/>
              <w:numPr>
                <w:ilvl w:val="0"/>
                <w:numId w:val="5"/>
              </w:numPr>
              <w:cnfStyle w:val="000000000000"/>
            </w:pPr>
            <w:r w:rsidRPr="00C01E0B">
              <w:t>If the report contains “consolidated” data,  then t</w:t>
            </w:r>
            <w:r w:rsidR="0016342A" w:rsidRPr="00C01E0B">
              <w:t xml:space="preserve">he </w:t>
            </w:r>
            <w:r w:rsidRPr="00C01E0B">
              <w:t xml:space="preserve">reporting periods  for the </w:t>
            </w:r>
            <w:r w:rsidR="0016342A" w:rsidRPr="00C01E0B">
              <w:t xml:space="preserve">“consolidated” </w:t>
            </w:r>
            <w:r w:rsidRPr="00C01E0B">
              <w:t xml:space="preserve">data </w:t>
            </w:r>
            <w:r w:rsidR="00193689" w:rsidRPr="00C01E0B">
              <w:t xml:space="preserve">set </w:t>
            </w:r>
            <w:r w:rsidRPr="00C01E0B">
              <w:t>must cover all the reporting period</w:t>
            </w:r>
            <w:r w:rsidR="00193689" w:rsidRPr="00C01E0B">
              <w:t>s for each of the “segmented” data set</w:t>
            </w:r>
          </w:p>
          <w:p w:rsidR="00174F11" w:rsidRPr="00C01E0B" w:rsidRDefault="00174F11" w:rsidP="00766958">
            <w:pPr>
              <w:pStyle w:val="ListParagraph"/>
              <w:numPr>
                <w:ilvl w:val="0"/>
                <w:numId w:val="5"/>
              </w:numPr>
              <w:cnfStyle w:val="000000000000"/>
            </w:pPr>
            <w:r w:rsidRPr="00C01E0B">
              <w:t>If the report doesn’t contain “consolidated” data, and one of the “segmented” data set has reporting periods that cover the reporting periods for each of the remaining “segmented” data set</w:t>
            </w:r>
          </w:p>
          <w:p w:rsidR="006452A0" w:rsidRPr="00C01E0B" w:rsidRDefault="006452A0" w:rsidP="006452A0">
            <w:pPr>
              <w:cnfStyle w:val="000000000000"/>
            </w:pPr>
          </w:p>
          <w:p w:rsidR="006452A0" w:rsidRPr="00C01E0B" w:rsidRDefault="006452A0" w:rsidP="006452A0">
            <w:pPr>
              <w:cnfStyle w:val="000000000000"/>
            </w:pPr>
            <w:r w:rsidRPr="00C01E0B">
              <w:t xml:space="preserve">For example, </w:t>
            </w:r>
          </w:p>
          <w:p w:rsidR="00631414" w:rsidRPr="00C01E0B" w:rsidRDefault="00631414" w:rsidP="006452A0">
            <w:pPr>
              <w:cnfStyle w:val="000000000000"/>
            </w:pPr>
          </w:p>
          <w:p w:rsidR="006452A0" w:rsidRPr="00C01E0B" w:rsidRDefault="006452A0" w:rsidP="006452A0">
            <w:pPr>
              <w:cnfStyle w:val="000000000000"/>
            </w:pPr>
            <w:r w:rsidRPr="00C01E0B">
              <w:t xml:space="preserve">If a balance sheet has </w:t>
            </w:r>
            <w:r w:rsidR="004E712B" w:rsidRPr="00C01E0B">
              <w:t>consolidated data for 12/31/2007, 12/31/2006 and 12/31/2005</w:t>
            </w:r>
            <w:r w:rsidRPr="00C01E0B">
              <w:t>. Let’s say the balance sheet also contains data for 2 divisions “</w:t>
            </w:r>
            <w:r w:rsidR="004E712B" w:rsidRPr="00C01E0B">
              <w:t>GE</w:t>
            </w:r>
            <w:r w:rsidRPr="00C01E0B">
              <w:t>” and “</w:t>
            </w:r>
            <w:r w:rsidR="004E712B" w:rsidRPr="00C01E0B">
              <w:t>GECS</w:t>
            </w:r>
            <w:r w:rsidRPr="00C01E0B">
              <w:t>”, and data has been reported for “</w:t>
            </w:r>
            <w:r w:rsidR="004E712B" w:rsidRPr="00C01E0B">
              <w:t>GE</w:t>
            </w:r>
            <w:r w:rsidRPr="00C01E0B">
              <w:t>” for 12/31/2008, 12/31/2007 and 12/31/2006; for “</w:t>
            </w:r>
            <w:r w:rsidR="004E712B" w:rsidRPr="00C01E0B">
              <w:t>GECS</w:t>
            </w:r>
            <w:r w:rsidRPr="00C01E0B">
              <w:t>”, data was reported for 12/31/2008.</w:t>
            </w:r>
          </w:p>
          <w:p w:rsidR="00834814" w:rsidRPr="00C01E0B" w:rsidRDefault="00834814" w:rsidP="006452A0">
            <w:pPr>
              <w:cnfStyle w:val="000000000000"/>
            </w:pPr>
          </w:p>
          <w:p w:rsidR="006452A0" w:rsidRPr="00C01E0B" w:rsidRDefault="006452A0" w:rsidP="006452A0">
            <w:pPr>
              <w:cnfStyle w:val="000000000000"/>
            </w:pPr>
            <w:r w:rsidRPr="00C01E0B">
              <w:t xml:space="preserve">In this case, condition (1) is </w:t>
            </w:r>
            <w:r w:rsidR="007E1186" w:rsidRPr="00C01E0B">
              <w:t>met,</w:t>
            </w:r>
            <w:r w:rsidRPr="00C01E0B">
              <w:t xml:space="preserve"> so the report would be displayed in a vertical format: three columns (12/31/2008, 12/31/2007, </w:t>
            </w:r>
            <w:r w:rsidR="007E1186" w:rsidRPr="00C01E0B">
              <w:t>and 12</w:t>
            </w:r>
            <w:r w:rsidRPr="00C01E0B">
              <w:t xml:space="preserve">/31/2006), consolidated first, </w:t>
            </w:r>
            <w:r w:rsidR="007E1186" w:rsidRPr="00C01E0B">
              <w:t>and then</w:t>
            </w:r>
            <w:r w:rsidRPr="00C01E0B">
              <w:t xml:space="preserve"> “</w:t>
            </w:r>
            <w:r w:rsidR="004E712B" w:rsidRPr="00C01E0B">
              <w:t>Consolidated</w:t>
            </w:r>
            <w:r w:rsidRPr="00C01E0B">
              <w:t>” followed by “</w:t>
            </w:r>
            <w:r w:rsidR="004E712B" w:rsidRPr="00C01E0B">
              <w:t>GE</w:t>
            </w:r>
            <w:r w:rsidRPr="00C01E0B">
              <w:t>”</w:t>
            </w:r>
            <w:r w:rsidR="004E712B" w:rsidRPr="00C01E0B">
              <w:t xml:space="preserve"> then “</w:t>
            </w:r>
            <w:r w:rsidR="00601F8A" w:rsidRPr="00C01E0B">
              <w:t>GECS</w:t>
            </w:r>
            <w:r w:rsidR="00932EFB" w:rsidRPr="00C01E0B">
              <w:t>”</w:t>
            </w:r>
            <w:r w:rsidR="00246462" w:rsidRPr="00C01E0B">
              <w:t xml:space="preserve">. </w:t>
            </w:r>
            <w:r w:rsidR="000F4D64" w:rsidRPr="00C01E0B">
              <w:t xml:space="preserve">The </w:t>
            </w:r>
            <w:r w:rsidR="00A0652C" w:rsidRPr="00C01E0B">
              <w:t>engine</w:t>
            </w:r>
            <w:r w:rsidR="00B45F63" w:rsidRPr="00C01E0B">
              <w:t xml:space="preserve"> </w:t>
            </w:r>
            <w:r w:rsidR="00246462" w:rsidRPr="00C01E0B">
              <w:t>add</w:t>
            </w:r>
            <w:r w:rsidR="00A0652C" w:rsidRPr="00C01E0B">
              <w:t>s</w:t>
            </w:r>
            <w:r w:rsidR="00246462" w:rsidRPr="00C01E0B">
              <w:t xml:space="preserve"> a “Segment Title” for the consolidated data set and each segmented data set.</w:t>
            </w:r>
          </w:p>
          <w:p w:rsidR="00686248" w:rsidRPr="00C01E0B" w:rsidRDefault="00686248" w:rsidP="006452A0">
            <w:pPr>
              <w:cnfStyle w:val="000000000000"/>
            </w:pPr>
          </w:p>
          <w:p w:rsidR="00D93650" w:rsidRPr="00C01E0B" w:rsidRDefault="00932EFB" w:rsidP="006452A0">
            <w:pPr>
              <w:cnfStyle w:val="000000000000"/>
            </w:pPr>
            <w:r w:rsidRPr="00C01E0B">
              <w:rPr>
                <w:noProof/>
              </w:rPr>
              <w:lastRenderedPageBreak/>
              <w:drawing>
                <wp:inline distT="0" distB="0" distL="0" distR="0">
                  <wp:extent cx="4143375" cy="3133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43375" cy="3133725"/>
                          </a:xfrm>
                          <a:prstGeom prst="rect">
                            <a:avLst/>
                          </a:prstGeom>
                          <a:noFill/>
                          <a:ln w="9525">
                            <a:noFill/>
                            <a:miter lim="800000"/>
                            <a:headEnd/>
                            <a:tailEnd/>
                          </a:ln>
                        </pic:spPr>
                      </pic:pic>
                    </a:graphicData>
                  </a:graphic>
                </wp:inline>
              </w:drawing>
            </w:r>
          </w:p>
          <w:p w:rsidR="00927BC5" w:rsidRDefault="00927BC5" w:rsidP="006452A0">
            <w:pPr>
              <w:cnfStyle w:val="000000000000"/>
            </w:pPr>
          </w:p>
          <w:p w:rsidR="00F74F32" w:rsidRPr="00C01E0B" w:rsidRDefault="002B6394" w:rsidP="00305416">
            <w:pPr>
              <w:cnfStyle w:val="000000000000"/>
            </w:pPr>
            <w:r>
              <w:t>For the statement of Stockholders’ Equity</w:t>
            </w:r>
            <w:r w:rsidR="001B5CC2">
              <w:t>,</w:t>
            </w:r>
            <w:r>
              <w:t xml:space="preserve"> Statement of Shareholders’ Equity, </w:t>
            </w:r>
            <w:r w:rsidR="001B5CC2">
              <w:t xml:space="preserve">and Statement of Partners’ Capital, </w:t>
            </w:r>
            <w:r>
              <w:t>segments will be applied horizontally</w:t>
            </w:r>
            <w:r w:rsidR="001B5CC2">
              <w:t xml:space="preserve"> when the statement contains segments.</w:t>
            </w:r>
            <w:r w:rsidR="00305416">
              <w:t xml:space="preserve">  Any non segmented numbers will be included in the “Total” column which displays as the last column.  </w:t>
            </w:r>
          </w:p>
        </w:tc>
      </w:tr>
      <w:tr w:rsidR="00943131" w:rsidRPr="00C01E0B" w:rsidTr="00162627">
        <w:trPr>
          <w:cnfStyle w:val="000000100000"/>
        </w:trPr>
        <w:tc>
          <w:tcPr>
            <w:cnfStyle w:val="001000000000"/>
            <w:tcW w:w="2988" w:type="dxa"/>
          </w:tcPr>
          <w:p w:rsidR="00943131" w:rsidRPr="00C01E0B" w:rsidRDefault="00943131" w:rsidP="00FF3F5F">
            <w:pPr>
              <w:pStyle w:val="ListParagraph"/>
              <w:numPr>
                <w:ilvl w:val="0"/>
                <w:numId w:val="3"/>
              </w:numPr>
            </w:pPr>
            <w:r w:rsidRPr="00C01E0B">
              <w:lastRenderedPageBreak/>
              <w:t>Process Beginning/Ending Balances</w:t>
            </w:r>
          </w:p>
        </w:tc>
        <w:tc>
          <w:tcPr>
            <w:tcW w:w="7920" w:type="dxa"/>
          </w:tcPr>
          <w:p w:rsidR="00943131" w:rsidRPr="00C01E0B" w:rsidRDefault="000839A5" w:rsidP="00506989">
            <w:pPr>
              <w:cnfStyle w:val="000000100000"/>
            </w:pPr>
            <w:r w:rsidRPr="00C01E0B">
              <w:t>Normally when reporting beginning/ending balances, the preparer are using the same element for both. In the presentation hierarchy, the same element appear twice one with the preferred label role defines as “Beginning Balance” and the other defined as “Ending Balance”</w:t>
            </w:r>
          </w:p>
          <w:p w:rsidR="003251C1" w:rsidRPr="00C01E0B" w:rsidRDefault="003251C1" w:rsidP="00506989">
            <w:pPr>
              <w:cnfStyle w:val="000000100000"/>
            </w:pPr>
          </w:p>
          <w:p w:rsidR="003251C1" w:rsidRPr="00C01E0B" w:rsidRDefault="003251C1" w:rsidP="00506989">
            <w:pPr>
              <w:cnfStyle w:val="000000100000"/>
            </w:pPr>
            <w:r w:rsidRPr="00C01E0B">
              <w:t>Without special processing, the beginning balance and ending balance for the same column (same reporting period) would have the same value. The processing logic would “shift” the ending balance value to beginning balance column based on the following logic:</w:t>
            </w:r>
          </w:p>
          <w:p w:rsidR="000839A5" w:rsidRPr="00C01E0B" w:rsidRDefault="000839A5" w:rsidP="00506989">
            <w:pPr>
              <w:cnfStyle w:val="000000100000"/>
            </w:pPr>
          </w:p>
          <w:p w:rsidR="00011042" w:rsidRPr="00C01E0B" w:rsidRDefault="00011042" w:rsidP="00E561AC">
            <w:pPr>
              <w:cnfStyle w:val="000000100000"/>
            </w:pPr>
            <w:r w:rsidRPr="00C01E0B">
              <w:t>For the “</w:t>
            </w:r>
            <w:r w:rsidR="00E561AC" w:rsidRPr="00C01E0B">
              <w:t>Beginning</w:t>
            </w:r>
            <w:r w:rsidRPr="00C01E0B">
              <w:t xml:space="preserve"> Balance” rows in the report, </w:t>
            </w:r>
            <w:r w:rsidR="006A4E0C" w:rsidRPr="00C01E0B">
              <w:t xml:space="preserve">the rendering engine </w:t>
            </w:r>
            <w:r w:rsidR="00CA1F73" w:rsidRPr="00C01E0B">
              <w:t xml:space="preserve">goes </w:t>
            </w:r>
            <w:r w:rsidRPr="00C01E0B">
              <w:t>through each cell and compare</w:t>
            </w:r>
            <w:r w:rsidR="003251C1" w:rsidRPr="00C01E0B">
              <w:t>s</w:t>
            </w:r>
            <w:r w:rsidRPr="00C01E0B">
              <w:t xml:space="preserve"> the </w:t>
            </w:r>
            <w:r w:rsidR="003251C1" w:rsidRPr="00C01E0B">
              <w:t xml:space="preserve">“Period End Date” with other cells on the row. If the “Period End Date” is the same </w:t>
            </w:r>
            <w:r w:rsidR="00E561AC" w:rsidRPr="00C01E0B">
              <w:t>or one day before</w:t>
            </w:r>
            <w:r w:rsidR="003251C1" w:rsidRPr="00C01E0B">
              <w:t xml:space="preserve"> as the “Period Start Date” of another cell, </w:t>
            </w:r>
            <w:r w:rsidR="00E561AC" w:rsidRPr="00C01E0B">
              <w:t>“shift” (copy) the</w:t>
            </w:r>
            <w:r w:rsidR="003251C1" w:rsidRPr="00C01E0B">
              <w:t xml:space="preserve"> balance</w:t>
            </w:r>
            <w:r w:rsidR="00E561AC" w:rsidRPr="00C01E0B">
              <w:t xml:space="preserve"> to this cell.</w:t>
            </w:r>
          </w:p>
          <w:p w:rsidR="00E561AC" w:rsidRPr="00C01E0B" w:rsidRDefault="00E561AC" w:rsidP="00E561AC">
            <w:pPr>
              <w:cnfStyle w:val="000000100000"/>
            </w:pPr>
          </w:p>
          <w:p w:rsidR="00E561AC" w:rsidRPr="00C01E0B" w:rsidRDefault="00E561AC" w:rsidP="00E561AC">
            <w:pPr>
              <w:cnfStyle w:val="000000100000"/>
            </w:pPr>
            <w:r w:rsidRPr="00C01E0B">
              <w:t xml:space="preserve">For example, </w:t>
            </w:r>
          </w:p>
          <w:p w:rsidR="00E561AC" w:rsidRPr="00C01E0B" w:rsidRDefault="00E561AC" w:rsidP="00E561AC">
            <w:pPr>
              <w:cnfStyle w:val="000000100000"/>
            </w:pPr>
          </w:p>
          <w:p w:rsidR="00E561AC" w:rsidRPr="00C01E0B" w:rsidRDefault="00E561AC" w:rsidP="00E561AC">
            <w:pPr>
              <w:cnfStyle w:val="000000100000"/>
              <w:rPr>
                <w:b/>
                <w:u w:val="single"/>
              </w:rPr>
            </w:pPr>
            <w:r w:rsidRPr="00C01E0B">
              <w:rPr>
                <w:b/>
                <w:u w:val="single"/>
              </w:rPr>
              <w:t>Before Processing</w:t>
            </w:r>
          </w:p>
          <w:p w:rsidR="00E561AC" w:rsidRPr="00C01E0B" w:rsidRDefault="00E561AC" w:rsidP="00E561AC">
            <w:pPr>
              <w:cnfStyle w:val="000000100000"/>
            </w:pPr>
          </w:p>
          <w:p w:rsidR="00E561AC" w:rsidRPr="00C01E0B" w:rsidRDefault="00E561AC" w:rsidP="00E561AC">
            <w:pPr>
              <w:cnfStyle w:val="000000100000"/>
            </w:pPr>
            <w:r w:rsidRPr="00C01E0B">
              <w:t xml:space="preserve">                            1/1/2008 – 3/31/2008                  4/1/2008 – 6/30/2008</w:t>
            </w:r>
          </w:p>
          <w:p w:rsidR="00E561AC" w:rsidRPr="00C01E0B" w:rsidRDefault="00E561AC" w:rsidP="00E561AC">
            <w:pPr>
              <w:cnfStyle w:val="000000100000"/>
            </w:pPr>
            <w:r w:rsidRPr="00C01E0B">
              <w:t>Cash BB              100                                                   300</w:t>
            </w:r>
          </w:p>
          <w:p w:rsidR="00E561AC" w:rsidRPr="00C01E0B" w:rsidRDefault="00E561AC" w:rsidP="00E561AC">
            <w:pPr>
              <w:cnfStyle w:val="000000100000"/>
            </w:pPr>
            <w:r w:rsidRPr="00C01E0B">
              <w:t>Cash EB              100                                                   300</w:t>
            </w:r>
          </w:p>
          <w:p w:rsidR="00E561AC" w:rsidRPr="00C01E0B" w:rsidRDefault="00E561AC" w:rsidP="00E561AC">
            <w:pPr>
              <w:cnfStyle w:val="000000100000"/>
            </w:pPr>
          </w:p>
          <w:p w:rsidR="00E561AC" w:rsidRPr="00C01E0B" w:rsidRDefault="004123BA" w:rsidP="00E561AC">
            <w:pPr>
              <w:cnfStyle w:val="000000100000"/>
              <w:rPr>
                <w:b/>
                <w:u w:val="single"/>
              </w:rPr>
            </w:pPr>
            <w:r w:rsidRPr="00C01E0B">
              <w:rPr>
                <w:b/>
                <w:u w:val="single"/>
              </w:rPr>
              <w:lastRenderedPageBreak/>
              <w:t>After</w:t>
            </w:r>
            <w:r w:rsidR="00E561AC" w:rsidRPr="00C01E0B">
              <w:rPr>
                <w:b/>
                <w:u w:val="single"/>
              </w:rPr>
              <w:t xml:space="preserve"> Processing</w:t>
            </w:r>
          </w:p>
          <w:p w:rsidR="00E561AC" w:rsidRPr="00C01E0B" w:rsidRDefault="00E561AC" w:rsidP="00E561AC">
            <w:pPr>
              <w:cnfStyle w:val="000000100000"/>
            </w:pPr>
          </w:p>
          <w:p w:rsidR="00E561AC" w:rsidRPr="00C01E0B" w:rsidRDefault="00E561AC" w:rsidP="00E561AC">
            <w:pPr>
              <w:cnfStyle w:val="000000100000"/>
            </w:pPr>
            <w:r w:rsidRPr="00C01E0B">
              <w:t xml:space="preserve">                            1/1/2008 – 3/31/2008                  4/1/2008 – 6/30/2008</w:t>
            </w:r>
          </w:p>
          <w:p w:rsidR="00E561AC" w:rsidRPr="00C01E0B" w:rsidRDefault="00E561AC" w:rsidP="00E561AC">
            <w:pPr>
              <w:cnfStyle w:val="000000100000"/>
            </w:pPr>
            <w:r w:rsidRPr="00C01E0B">
              <w:t xml:space="preserve">Cash BB              </w:t>
            </w:r>
            <w:r w:rsidRPr="00C01E0B">
              <w:rPr>
                <w:b/>
                <w:strike/>
              </w:rPr>
              <w:t>100</w:t>
            </w:r>
            <w:r w:rsidRPr="00C01E0B">
              <w:t xml:space="preserve">                                                   </w:t>
            </w:r>
            <w:r w:rsidRPr="00C01E0B">
              <w:rPr>
                <w:strike/>
              </w:rPr>
              <w:t>300</w:t>
            </w:r>
            <w:r w:rsidR="004123BA" w:rsidRPr="00C01E0B">
              <w:t xml:space="preserve"> </w:t>
            </w:r>
            <w:r w:rsidR="004123BA" w:rsidRPr="00C01E0B">
              <w:rPr>
                <w:b/>
              </w:rPr>
              <w:t>100</w:t>
            </w:r>
          </w:p>
          <w:p w:rsidR="00E561AC" w:rsidRPr="00C01E0B" w:rsidRDefault="00E561AC" w:rsidP="00E561AC">
            <w:pPr>
              <w:cnfStyle w:val="000000100000"/>
            </w:pPr>
            <w:r w:rsidRPr="00C01E0B">
              <w:t>Cash EB              100                                                   300</w:t>
            </w:r>
          </w:p>
          <w:p w:rsidR="00E561AC" w:rsidRPr="00C01E0B" w:rsidRDefault="00E561AC" w:rsidP="00E561AC">
            <w:pPr>
              <w:cnfStyle w:val="000000100000"/>
            </w:pPr>
          </w:p>
          <w:p w:rsidR="00E561AC" w:rsidRPr="00C01E0B" w:rsidRDefault="00E561AC" w:rsidP="00E561AC">
            <w:pPr>
              <w:cnfStyle w:val="000000100000"/>
            </w:pPr>
          </w:p>
        </w:tc>
      </w:tr>
      <w:tr w:rsidR="00E561AC" w:rsidRPr="00C01E0B" w:rsidTr="00162627">
        <w:tc>
          <w:tcPr>
            <w:cnfStyle w:val="001000000000"/>
            <w:tcW w:w="2988" w:type="dxa"/>
          </w:tcPr>
          <w:p w:rsidR="00E561AC" w:rsidRPr="00C01E0B" w:rsidRDefault="002D269A" w:rsidP="00FF3F5F">
            <w:pPr>
              <w:pStyle w:val="ListParagraph"/>
              <w:numPr>
                <w:ilvl w:val="0"/>
                <w:numId w:val="3"/>
              </w:numPr>
            </w:pPr>
            <w:r w:rsidRPr="00C01E0B">
              <w:lastRenderedPageBreak/>
              <w:t>Process Report Column Headers</w:t>
            </w:r>
          </w:p>
        </w:tc>
        <w:tc>
          <w:tcPr>
            <w:tcW w:w="7920" w:type="dxa"/>
          </w:tcPr>
          <w:p w:rsidR="00E561AC" w:rsidRPr="00C01E0B" w:rsidRDefault="002D269A" w:rsidP="00506989">
            <w:pPr>
              <w:cnfStyle w:val="000000000000"/>
              <w:rPr>
                <w:rFonts w:cs="Courier New"/>
                <w:noProof/>
              </w:rPr>
            </w:pPr>
            <w:r w:rsidRPr="00C01E0B">
              <w:t xml:space="preserve">If the column is an “instant” only column, format the reporting period as </w:t>
            </w:r>
            <w:r w:rsidRPr="00C01E0B">
              <w:rPr>
                <w:rFonts w:cs="Courier New"/>
                <w:noProof/>
                <w:color w:val="800000"/>
              </w:rPr>
              <w:t xml:space="preserve">"MMM. dd, yyyy" </w:t>
            </w:r>
            <w:r w:rsidRPr="00C01E0B">
              <w:rPr>
                <w:rFonts w:cs="Courier New"/>
                <w:noProof/>
              </w:rPr>
              <w:t>– for example December 31, 2008</w:t>
            </w:r>
          </w:p>
          <w:p w:rsidR="002D269A" w:rsidRPr="00C01E0B" w:rsidRDefault="002D269A" w:rsidP="002D269A">
            <w:pPr>
              <w:cnfStyle w:val="000000000000"/>
            </w:pPr>
            <w:r w:rsidRPr="00C01E0B">
              <w:rPr>
                <w:rFonts w:cs="Courier New"/>
                <w:noProof/>
              </w:rPr>
              <w:t xml:space="preserve">If the column is a “duration” column, format the reporting period as two lines: </w:t>
            </w:r>
            <w:r w:rsidRPr="00C01E0B">
              <w:rPr>
                <w:rFonts w:cs="Courier New"/>
                <w:noProof/>
                <w:color w:val="800000"/>
              </w:rPr>
              <w:t xml:space="preserve">"n Months Ended" </w:t>
            </w:r>
            <w:r w:rsidRPr="00C01E0B">
              <w:rPr>
                <w:rFonts w:cs="Courier New"/>
                <w:noProof/>
              </w:rPr>
              <w:t>and</w:t>
            </w:r>
            <w:r w:rsidRPr="00C01E0B">
              <w:rPr>
                <w:rFonts w:cs="Courier New"/>
                <w:noProof/>
                <w:color w:val="800000"/>
              </w:rPr>
              <w:t xml:space="preserve"> "MMM. dd, yyyy". </w:t>
            </w:r>
            <w:r w:rsidRPr="00C01E0B">
              <w:rPr>
                <w:rFonts w:cs="Courier New"/>
                <w:noProof/>
              </w:rPr>
              <w:t>For eaxmple, 3 Months Ended/December 31, 2008</w:t>
            </w:r>
          </w:p>
        </w:tc>
      </w:tr>
    </w:tbl>
    <w:p w:rsidR="00A76216" w:rsidRPr="00C01E0B" w:rsidRDefault="00A76216" w:rsidP="001D45DC">
      <w:pPr>
        <w:rPr>
          <w:b/>
          <w:i/>
        </w:rPr>
      </w:pPr>
    </w:p>
    <w:p w:rsidR="00124F2C" w:rsidRPr="00C01E0B" w:rsidRDefault="00124F2C" w:rsidP="00C0635C"/>
    <w:sectPr w:rsidR="00124F2C" w:rsidRPr="00C01E0B" w:rsidSect="00C0635C">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4F2" w:rsidRDefault="000A14F2" w:rsidP="004A24EC">
      <w:pPr>
        <w:spacing w:after="0" w:line="240" w:lineRule="auto"/>
      </w:pPr>
      <w:r>
        <w:separator/>
      </w:r>
    </w:p>
  </w:endnote>
  <w:endnote w:type="continuationSeparator" w:id="0">
    <w:p w:rsidR="000A14F2" w:rsidRDefault="000A14F2" w:rsidP="004A2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6234"/>
      <w:docPartObj>
        <w:docPartGallery w:val="Page Numbers (Bottom of Page)"/>
        <w:docPartUnique/>
      </w:docPartObj>
    </w:sdtPr>
    <w:sdtEndPr>
      <w:rPr>
        <w:spacing w:val="60"/>
      </w:rPr>
    </w:sdtEndPr>
    <w:sdtContent>
      <w:p w:rsidR="000A14F2" w:rsidRDefault="000A14F2">
        <w:pPr>
          <w:pStyle w:val="Footer"/>
          <w:pBdr>
            <w:top w:val="single" w:sz="4" w:space="1" w:color="D9D9D9" w:themeColor="background1" w:themeShade="D9"/>
          </w:pBdr>
          <w:rPr>
            <w:b/>
          </w:rPr>
        </w:pPr>
        <w:fldSimple w:instr=" PAGE   \* MERGEFORMAT ">
          <w:r w:rsidR="00121FD1" w:rsidRPr="00121FD1">
            <w:rPr>
              <w:b/>
              <w:noProof/>
            </w:rPr>
            <w:t>1</w:t>
          </w:r>
        </w:fldSimple>
        <w:r>
          <w:rPr>
            <w:b/>
          </w:rPr>
          <w:t xml:space="preserve"> | </w:t>
        </w:r>
        <w:r>
          <w:rPr>
            <w:color w:val="7F7F7F" w:themeColor="background1" w:themeShade="7F"/>
            <w:spacing w:val="60"/>
          </w:rPr>
          <w:t>Page</w:t>
        </w:r>
      </w:p>
    </w:sdtContent>
  </w:sdt>
  <w:p w:rsidR="000A14F2" w:rsidRDefault="000A14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4F2" w:rsidRDefault="000A14F2" w:rsidP="004A24EC">
      <w:pPr>
        <w:spacing w:after="0" w:line="240" w:lineRule="auto"/>
      </w:pPr>
      <w:r>
        <w:separator/>
      </w:r>
    </w:p>
  </w:footnote>
  <w:footnote w:type="continuationSeparator" w:id="0">
    <w:p w:rsidR="000A14F2" w:rsidRDefault="000A14F2" w:rsidP="004A24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sz w:val="28"/>
        <w:szCs w:val="28"/>
      </w:rPr>
      <w:alias w:val="Title"/>
      <w:id w:val="77738743"/>
      <w:placeholder>
        <w:docPart w:val="70B45CCD71DE499E929527F48DCF2E8C"/>
      </w:placeholder>
      <w:dataBinding w:prefixMappings="xmlns:ns0='http://schemas.openxmlformats.org/package/2006/metadata/core-properties' xmlns:ns1='http://purl.org/dc/elements/1.1/'" w:xpath="/ns0:coreProperties[1]/ns1:title[1]" w:storeItemID="{6C3C8BC8-F283-45AE-878A-BAB7291924A1}"/>
      <w:text/>
    </w:sdtPr>
    <w:sdtContent>
      <w:p w:rsidR="000A14F2" w:rsidRDefault="000A14F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86DBE">
          <w:rPr>
            <w:rFonts w:asciiTheme="majorHAnsi" w:eastAsiaTheme="majorEastAsia" w:hAnsiTheme="majorHAnsi" w:cstheme="majorBidi"/>
            <w:b/>
            <w:bCs/>
            <w:color w:val="365F91" w:themeColor="accent1" w:themeShade="BF"/>
            <w:sz w:val="28"/>
            <w:szCs w:val="28"/>
          </w:rPr>
          <w:t>SEC Financial Viewer Reporting Processing Rules</w:t>
        </w:r>
      </w:p>
    </w:sdtContent>
  </w:sdt>
  <w:p w:rsidR="000A14F2" w:rsidRDefault="000A14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F16B4"/>
    <w:multiLevelType w:val="hybridMultilevel"/>
    <w:tmpl w:val="5DDC1D68"/>
    <w:lvl w:ilvl="0" w:tplc="67407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C213D"/>
    <w:multiLevelType w:val="hybridMultilevel"/>
    <w:tmpl w:val="F2100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355C3A"/>
    <w:multiLevelType w:val="hybridMultilevel"/>
    <w:tmpl w:val="979CAA62"/>
    <w:lvl w:ilvl="0" w:tplc="D4F8C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CE1488"/>
    <w:multiLevelType w:val="hybridMultilevel"/>
    <w:tmpl w:val="0706B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87100A"/>
    <w:multiLevelType w:val="hybridMultilevel"/>
    <w:tmpl w:val="885E1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0387433"/>
    <w:multiLevelType w:val="hybridMultilevel"/>
    <w:tmpl w:val="27D6A272"/>
    <w:lvl w:ilvl="0" w:tplc="712E58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E0F5A27"/>
    <w:multiLevelType w:val="hybridMultilevel"/>
    <w:tmpl w:val="885E1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24F2C"/>
    <w:rsid w:val="00011042"/>
    <w:rsid w:val="0002709F"/>
    <w:rsid w:val="000514BF"/>
    <w:rsid w:val="00051DD3"/>
    <w:rsid w:val="000529EE"/>
    <w:rsid w:val="00075B93"/>
    <w:rsid w:val="000839A5"/>
    <w:rsid w:val="000851B0"/>
    <w:rsid w:val="000A14F2"/>
    <w:rsid w:val="000A579E"/>
    <w:rsid w:val="000C3C2F"/>
    <w:rsid w:val="000C4FB5"/>
    <w:rsid w:val="000D00B6"/>
    <w:rsid w:val="000F4D64"/>
    <w:rsid w:val="00113DB4"/>
    <w:rsid w:val="00121FD1"/>
    <w:rsid w:val="00124F2C"/>
    <w:rsid w:val="001506A0"/>
    <w:rsid w:val="00162627"/>
    <w:rsid w:val="0016342A"/>
    <w:rsid w:val="0016413B"/>
    <w:rsid w:val="00164CA2"/>
    <w:rsid w:val="00174F11"/>
    <w:rsid w:val="00193689"/>
    <w:rsid w:val="001A777D"/>
    <w:rsid w:val="001B5CC2"/>
    <w:rsid w:val="001D45DC"/>
    <w:rsid w:val="00212C85"/>
    <w:rsid w:val="00246462"/>
    <w:rsid w:val="00276889"/>
    <w:rsid w:val="002B6394"/>
    <w:rsid w:val="002C2A9F"/>
    <w:rsid w:val="002D269A"/>
    <w:rsid w:val="00301315"/>
    <w:rsid w:val="00301CC4"/>
    <w:rsid w:val="00305416"/>
    <w:rsid w:val="003251C1"/>
    <w:rsid w:val="003308A7"/>
    <w:rsid w:val="00390391"/>
    <w:rsid w:val="003A34A0"/>
    <w:rsid w:val="003A5130"/>
    <w:rsid w:val="003C3D90"/>
    <w:rsid w:val="004123BA"/>
    <w:rsid w:val="00414479"/>
    <w:rsid w:val="004169B1"/>
    <w:rsid w:val="00430233"/>
    <w:rsid w:val="0044196F"/>
    <w:rsid w:val="0044256E"/>
    <w:rsid w:val="00451DF0"/>
    <w:rsid w:val="00465C13"/>
    <w:rsid w:val="004837D2"/>
    <w:rsid w:val="00483E81"/>
    <w:rsid w:val="004A24EC"/>
    <w:rsid w:val="004B67A4"/>
    <w:rsid w:val="004E712B"/>
    <w:rsid w:val="004E7E24"/>
    <w:rsid w:val="00506989"/>
    <w:rsid w:val="005133CB"/>
    <w:rsid w:val="005346D6"/>
    <w:rsid w:val="00535C6A"/>
    <w:rsid w:val="0055447F"/>
    <w:rsid w:val="00580DFD"/>
    <w:rsid w:val="005B69B3"/>
    <w:rsid w:val="00601F8A"/>
    <w:rsid w:val="00622E32"/>
    <w:rsid w:val="00631414"/>
    <w:rsid w:val="006452A0"/>
    <w:rsid w:val="00656A84"/>
    <w:rsid w:val="00657A20"/>
    <w:rsid w:val="0068508C"/>
    <w:rsid w:val="00686248"/>
    <w:rsid w:val="006915F1"/>
    <w:rsid w:val="006919D3"/>
    <w:rsid w:val="00697DD6"/>
    <w:rsid w:val="006A4E0C"/>
    <w:rsid w:val="006B3A2C"/>
    <w:rsid w:val="006C29CA"/>
    <w:rsid w:val="006C36B4"/>
    <w:rsid w:val="006D71A5"/>
    <w:rsid w:val="006F0991"/>
    <w:rsid w:val="00722DFC"/>
    <w:rsid w:val="00732CD2"/>
    <w:rsid w:val="00737837"/>
    <w:rsid w:val="007506DB"/>
    <w:rsid w:val="00754EF9"/>
    <w:rsid w:val="00766958"/>
    <w:rsid w:val="0077160D"/>
    <w:rsid w:val="007761A8"/>
    <w:rsid w:val="00787F74"/>
    <w:rsid w:val="007E1186"/>
    <w:rsid w:val="007F062A"/>
    <w:rsid w:val="008103CF"/>
    <w:rsid w:val="00834814"/>
    <w:rsid w:val="00847233"/>
    <w:rsid w:val="00877A41"/>
    <w:rsid w:val="008F0E90"/>
    <w:rsid w:val="008F454F"/>
    <w:rsid w:val="00922DC5"/>
    <w:rsid w:val="00927BC5"/>
    <w:rsid w:val="00932EFB"/>
    <w:rsid w:val="00943131"/>
    <w:rsid w:val="00945C04"/>
    <w:rsid w:val="00981087"/>
    <w:rsid w:val="009829F7"/>
    <w:rsid w:val="009A225A"/>
    <w:rsid w:val="009C213C"/>
    <w:rsid w:val="009C5E70"/>
    <w:rsid w:val="009D1187"/>
    <w:rsid w:val="009E6EF5"/>
    <w:rsid w:val="00A0652C"/>
    <w:rsid w:val="00A12FE5"/>
    <w:rsid w:val="00A52150"/>
    <w:rsid w:val="00A71000"/>
    <w:rsid w:val="00A7535D"/>
    <w:rsid w:val="00A76216"/>
    <w:rsid w:val="00A84A29"/>
    <w:rsid w:val="00A93B2D"/>
    <w:rsid w:val="00AB331F"/>
    <w:rsid w:val="00AE7411"/>
    <w:rsid w:val="00B22873"/>
    <w:rsid w:val="00B24A27"/>
    <w:rsid w:val="00B403BC"/>
    <w:rsid w:val="00B45F63"/>
    <w:rsid w:val="00B66319"/>
    <w:rsid w:val="00B77870"/>
    <w:rsid w:val="00B9793F"/>
    <w:rsid w:val="00BB1954"/>
    <w:rsid w:val="00BC46C3"/>
    <w:rsid w:val="00BD292D"/>
    <w:rsid w:val="00BD5DF6"/>
    <w:rsid w:val="00BD76E5"/>
    <w:rsid w:val="00BE4C19"/>
    <w:rsid w:val="00C01E0B"/>
    <w:rsid w:val="00C0635C"/>
    <w:rsid w:val="00C1546D"/>
    <w:rsid w:val="00C31A67"/>
    <w:rsid w:val="00C86DBE"/>
    <w:rsid w:val="00C95A1C"/>
    <w:rsid w:val="00CA1F73"/>
    <w:rsid w:val="00CA31DB"/>
    <w:rsid w:val="00CA6A09"/>
    <w:rsid w:val="00CB1C25"/>
    <w:rsid w:val="00CB69ED"/>
    <w:rsid w:val="00CD4666"/>
    <w:rsid w:val="00CD566D"/>
    <w:rsid w:val="00CE34F1"/>
    <w:rsid w:val="00CE62D1"/>
    <w:rsid w:val="00D46DA4"/>
    <w:rsid w:val="00D552D0"/>
    <w:rsid w:val="00D61756"/>
    <w:rsid w:val="00D658AA"/>
    <w:rsid w:val="00D72B9D"/>
    <w:rsid w:val="00D93650"/>
    <w:rsid w:val="00DA2F43"/>
    <w:rsid w:val="00DB4FFF"/>
    <w:rsid w:val="00DC1497"/>
    <w:rsid w:val="00DC6E05"/>
    <w:rsid w:val="00DE1020"/>
    <w:rsid w:val="00DE1C7B"/>
    <w:rsid w:val="00DF2D33"/>
    <w:rsid w:val="00E05995"/>
    <w:rsid w:val="00E2206D"/>
    <w:rsid w:val="00E465BA"/>
    <w:rsid w:val="00E5214D"/>
    <w:rsid w:val="00E52D21"/>
    <w:rsid w:val="00E561AC"/>
    <w:rsid w:val="00E709C6"/>
    <w:rsid w:val="00E717BC"/>
    <w:rsid w:val="00E762C9"/>
    <w:rsid w:val="00E86073"/>
    <w:rsid w:val="00EB230B"/>
    <w:rsid w:val="00EC4DB0"/>
    <w:rsid w:val="00EF56B9"/>
    <w:rsid w:val="00F26502"/>
    <w:rsid w:val="00F27ACA"/>
    <w:rsid w:val="00F60B0D"/>
    <w:rsid w:val="00F61093"/>
    <w:rsid w:val="00F74F32"/>
    <w:rsid w:val="00F80FFE"/>
    <w:rsid w:val="00F93CE5"/>
    <w:rsid w:val="00FA4EF7"/>
    <w:rsid w:val="00FB3C29"/>
    <w:rsid w:val="00FF3F5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6E"/>
  </w:style>
  <w:style w:type="paragraph" w:styleId="Heading1">
    <w:name w:val="heading 1"/>
    <w:basedOn w:val="Normal"/>
    <w:next w:val="Normal"/>
    <w:link w:val="Heading1Char"/>
    <w:uiPriority w:val="9"/>
    <w:qFormat/>
    <w:rsid w:val="009D1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C29CA"/>
    <w:pPr>
      <w:ind w:left="720"/>
      <w:contextualSpacing/>
    </w:pPr>
  </w:style>
  <w:style w:type="paragraph" w:styleId="BalloonText">
    <w:name w:val="Balloon Text"/>
    <w:basedOn w:val="Normal"/>
    <w:link w:val="BalloonTextChar"/>
    <w:uiPriority w:val="99"/>
    <w:semiHidden/>
    <w:unhideWhenUsed/>
    <w:rsid w:val="00932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EFB"/>
    <w:rPr>
      <w:rFonts w:ascii="Tahoma" w:hAnsi="Tahoma" w:cs="Tahoma"/>
      <w:sz w:val="16"/>
      <w:szCs w:val="16"/>
    </w:rPr>
  </w:style>
  <w:style w:type="table" w:styleId="MediumGrid3-Accent1">
    <w:name w:val="Medium Grid 3 Accent 1"/>
    <w:basedOn w:val="TableNormal"/>
    <w:uiPriority w:val="69"/>
    <w:rsid w:val="0016262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2-Accent11">
    <w:name w:val="Medium Shading 2 - Accent 11"/>
    <w:basedOn w:val="TableNormal"/>
    <w:uiPriority w:val="64"/>
    <w:rsid w:val="0016262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9D11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118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D1187"/>
    <w:rPr>
      <w:i/>
      <w:iCs/>
    </w:rPr>
  </w:style>
  <w:style w:type="paragraph" w:styleId="Header">
    <w:name w:val="header"/>
    <w:basedOn w:val="Normal"/>
    <w:link w:val="HeaderChar"/>
    <w:uiPriority w:val="99"/>
    <w:unhideWhenUsed/>
    <w:rsid w:val="004A2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EC"/>
  </w:style>
  <w:style w:type="paragraph" w:styleId="Footer">
    <w:name w:val="footer"/>
    <w:basedOn w:val="Normal"/>
    <w:link w:val="FooterChar"/>
    <w:uiPriority w:val="99"/>
    <w:unhideWhenUsed/>
    <w:rsid w:val="004A2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EC"/>
  </w:style>
  <w:style w:type="table" w:styleId="MediumList2-Accent1">
    <w:name w:val="Medium List 2 Accent 1"/>
    <w:basedOn w:val="TableNormal"/>
    <w:uiPriority w:val="66"/>
    <w:rsid w:val="009810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98108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DocumentMap">
    <w:name w:val="Document Map"/>
    <w:basedOn w:val="Normal"/>
    <w:link w:val="DocumentMapChar"/>
    <w:uiPriority w:val="99"/>
    <w:semiHidden/>
    <w:unhideWhenUsed/>
    <w:rsid w:val="00F74F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4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B45CCD71DE499E929527F48DCF2E8C"/>
        <w:category>
          <w:name w:val="General"/>
          <w:gallery w:val="placeholder"/>
        </w:category>
        <w:types>
          <w:type w:val="bbPlcHdr"/>
        </w:types>
        <w:behaviors>
          <w:behavior w:val="content"/>
        </w:behaviors>
        <w:guid w:val="{0E69DDC9-468D-43A6-8749-8C973F1B64C3}"/>
      </w:docPartPr>
      <w:docPartBody>
        <w:p w:rsidR="005F00D5" w:rsidRDefault="00D52C41" w:rsidP="00D52C41">
          <w:pPr>
            <w:pStyle w:val="70B45CCD71DE499E929527F48DCF2E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2C41"/>
    <w:rsid w:val="000401D3"/>
    <w:rsid w:val="002049DC"/>
    <w:rsid w:val="00360B18"/>
    <w:rsid w:val="00480E10"/>
    <w:rsid w:val="0053486D"/>
    <w:rsid w:val="005F00D5"/>
    <w:rsid w:val="007F7653"/>
    <w:rsid w:val="00805C5C"/>
    <w:rsid w:val="00A55240"/>
    <w:rsid w:val="00A76A7A"/>
    <w:rsid w:val="00CD6ECF"/>
    <w:rsid w:val="00D52C41"/>
    <w:rsid w:val="00D558CA"/>
    <w:rsid w:val="00E259C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13999011D34ECBA0395404E86E1018">
    <w:name w:val="2A13999011D34ECBA0395404E86E1018"/>
    <w:rsid w:val="00D52C41"/>
  </w:style>
  <w:style w:type="paragraph" w:customStyle="1" w:styleId="CF2DD71A330441AD9A3D7417EE3597FB">
    <w:name w:val="CF2DD71A330441AD9A3D7417EE3597FB"/>
    <w:rsid w:val="00D52C41"/>
  </w:style>
  <w:style w:type="paragraph" w:customStyle="1" w:styleId="2B10C848A251401AA5ABB87DABE312A2">
    <w:name w:val="2B10C848A251401AA5ABB87DABE312A2"/>
    <w:rsid w:val="00D52C41"/>
  </w:style>
  <w:style w:type="paragraph" w:customStyle="1" w:styleId="70B45CCD71DE499E929527F48DCF2E8C">
    <w:name w:val="70B45CCD71DE499E929527F48DCF2E8C"/>
    <w:rsid w:val="00D52C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371B4-C7B9-43E6-ACED-3420CE97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SEC Financial Viewer Reporting Processing Rules</vt:lpstr>
    </vt:vector>
  </TitlesOfParts>
  <Company>Microsoft</Company>
  <LinksUpToDate>false</LinksUpToDate>
  <CharactersWithSpaces>10606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Financial Viewer Reporting Processing Rules</dc:title>
  <dc:creator>emily.huang</dc:creator>
  <cp:lastModifiedBy>brian.larson</cp:lastModifiedBy>
  <cp:revision>3</cp:revision>
  <cp:lastPrinted>2008-08-18T15:54:00Z</cp:lastPrinted>
  <dcterms:created xsi:type="dcterms:W3CDTF">2010-06-28T16:40:00Z</dcterms:created>
  <dcterms:modified xsi:type="dcterms:W3CDTF">2010-06-30T16:36:00Z</dcterms:modified>
</cp:coreProperties>
</file>