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RoastCo – Coffee Category Insights</w:t>
      </w:r>
    </w:p>
    <w:p>
      <w:pPr>
        <w:pStyle w:val="Heading1"/>
      </w:pPr>
      <w:r>
        <w:t>📌 Executive Summary</w:t>
      </w:r>
    </w:p>
    <w:p>
      <w:r>
        <w:t>This analysis explored three years of POS data to help RoastCo uncover retail category performance drivers across Canada. Findings revealed strong regional and promotional patterns, enabling data-driven planning for shelf, price, and media activation.</w:t>
      </w:r>
    </w:p>
    <w:p>
      <w:r>
        <w:t>RoastCo Organic and Decaf showed the most consistent volume across banners, with BOGO and Endcap promotions delivering the highest per-unit revenue lift. Original and Bold blends were more price-sensitive, indicating opportunity for calibrated promo depth by channel.</w:t>
      </w:r>
    </w:p>
    <w:p>
      <w:pPr>
        <w:pStyle w:val="Heading1"/>
      </w:pPr>
      <w:r>
        <w:t>📊 What the Data Revealed</w:t>
      </w:r>
    </w:p>
    <w:p>
      <w:r>
        <w:t>Units sold varied widely by brand and retailer. Loblaws and Metro moved higher volumes of Organic, while Sobeys excelled with Bold and Decaf in flyer-driven periods. A regression model confirmed price elasticity across key SKUs, and clustering revealed distinct retailer behaviours that call for tailored promo strategies.</w:t>
      </w:r>
    </w:p>
    <w:p>
      <w:pPr>
        <w:pStyle w:val="Heading1"/>
      </w:pPr>
      <w:r>
        <w:t>🧭 Strategic Implications</w:t>
      </w:r>
    </w:p>
    <w:p>
      <w:r>
        <w:t>By tailoring shelf and promo strategy by retailer cluster, RoastCo can maximise ROI and reduce promo waste. Scaling BOGO offers for Decaf and shifting pricing thresholds for Bold are short-term wins, while clustering opens long-term segmentation strategy.</w:t>
      </w:r>
    </w:p>
    <w:p>
      <w:pPr>
        <w:pStyle w:val="Heading1"/>
      </w:pPr>
      <w:r>
        <w:t>📌 Data Enhancement Opportunities</w:t>
      </w:r>
    </w:p>
    <w:p>
      <w:r>
        <w:t>- **Store-level loyalty card data:** Would allow for customer cohort tracking across promo types.</w:t>
        <w:br/>
        <w:t>- **Competitor promo calendars:** To model lift more precisely during overlapping promotions.</w:t>
        <w:br/>
        <w:t>- **Retailer-level investment data:** Could correlate margin expectations to promo compliance.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