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pPr>
    </w:p>
    <w:p>
      <w:pPr>
        <w:spacing w:after="100"/>
      </w:pPr>
      <w:r>
        <w:rPr>
          <w:rFonts w:ascii="Calibri" w:cs="Calibri" w:eastAsia="Calibri" w:hAnsi="Calibri"/>
          <w:color w:val="5F7378"/>
          <w:spacing w:val="60"/>
          <w:sz w:val="20"/>
          <w:szCs w:val="20"/>
        </w:rPr>
        <w:t xml:space="preserve">DOCUMENTO DE SEGUIMIENTO</w:t>
      </w:r>
    </w:p>
    <w:p>
      <w:pPr>
        <w:spacing w:after="150"/>
      </w:pPr>
      <w:r>
        <w:rPr>
          <w:rFonts w:ascii="Calibri" w:cs="Calibri" w:eastAsia="Calibri" w:hAnsi="Calibri"/>
          <w:b/>
          <w:bCs/>
          <w:color w:val="0E5A4A"/>
          <w:sz w:val="60"/>
          <w:szCs w:val="60"/>
        </w:rPr>
        <w:t xml:space="preserve">Indicadores del Proyecto</w:t>
      </w:r>
    </w:p>
    <w:p>
      <w:pPr>
        <w:pBdr>
          <w:bottom w:val="single" w:color="0E5A4A" w:sz="12"/>
        </w:pBdr>
        <w:spacing w:after="400"/>
      </w:pPr>
      <w:r>
        <w:rPr>
          <w:rFonts w:ascii="Calibri" w:cs="Calibri" w:eastAsia="Calibri" w:hAnsi="Calibri"/>
          <w:color w:val="1A2B2E"/>
          <w:sz w:val="24"/>
          <w:szCs w:val="24"/>
        </w:rPr>
        <w:t xml:space="preserve">Planazo — definición, fórmula, fuente de datos, meta y frecuencia de medición de cada KPI</w:t>
      </w:r>
    </w:p>
    <w:p>
      <w:pPr>
        <w:spacing w:after="300"/>
      </w:pP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800"/>
        <w:gridCol w:w="6560"/>
      </w:tblGrid>
      <w:tr>
        <w:trPr>
          <w:tblHeader/>
        </w:trPr>
        <w:tc>
          <w:tcPr>
            <w:tcW w:type="dxa" w:w="28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Campo</w:t>
            </w:r>
          </w:p>
        </w:tc>
        <w:tc>
          <w:tcPr>
            <w:tcW w:type="dxa" w:w="65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Valor</w:t>
            </w:r>
          </w:p>
        </w:tc>
      </w:tr>
      <w:tr>
        <w:tc>
          <w:tcPr>
            <w:tcW w:type="dxa" w:w="28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Versión</w:t>
            </w:r>
          </w:p>
        </w:tc>
        <w:tc>
          <w:tcPr>
            <w:tcW w:type="dxa" w:w="656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1.0</w:t>
            </w:r>
          </w:p>
        </w:tc>
      </w:tr>
      <w:tr>
        <w:tc>
          <w:tcPr>
            <w:tcW w:type="dxa" w:w="28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Fecha</w:t>
            </w:r>
          </w:p>
        </w:tc>
        <w:tc>
          <w:tcPr>
            <w:tcW w:type="dxa" w:w="65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24 de agosto de 2026</w:t>
            </w:r>
          </w:p>
        </w:tc>
      </w:tr>
      <w:tr>
        <w:tc>
          <w:tcPr>
            <w:tcW w:type="dxa" w:w="28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Grupos de indicadores</w:t>
            </w:r>
          </w:p>
        </w:tc>
        <w:tc>
          <w:tcPr>
            <w:tcW w:type="dxa" w:w="656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5</w:t>
            </w:r>
          </w:p>
        </w:tc>
      </w:tr>
      <w:tr>
        <w:tc>
          <w:tcPr>
            <w:tcW w:type="dxa" w:w="28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Total de indicadores</w:t>
            </w:r>
          </w:p>
        </w:tc>
        <w:tc>
          <w:tcPr>
            <w:tcW w:type="dxa" w:w="656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26</w:t>
            </w:r>
          </w:p>
        </w:tc>
      </w:tr>
      <w:tr>
        <w:tc>
          <w:tcPr>
            <w:tcW w:type="dxa" w:w="28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Horizonte de las metas</w:t>
            </w:r>
          </w:p>
        </w:tc>
        <w:tc>
          <w:tcPr>
            <w:tcW w:type="dxa" w:w="65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MVP y primeros tres meses de operación</w:t>
            </w:r>
          </w:p>
        </w:tc>
      </w:tr>
      <w:tr>
        <w:tc>
          <w:tcPr>
            <w:tcW w:type="dxa" w:w="28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Documento relacionado</w:t>
            </w:r>
          </w:p>
        </w:tc>
        <w:tc>
          <w:tcPr>
            <w:tcW w:type="dxa" w:w="65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Caso de Negocio v1.0</w:t>
            </w:r>
          </w:p>
        </w:tc>
      </w:tr>
    </w:tbl>
    <w:p>
      <w:pPr>
        <w:spacing w:after="360"/>
      </w:pPr>
    </w:p>
    <w:tbl>
      <w:tblPr>
        <w:tblW w:type="dxa" w:w="9360"/>
        <w:tblBorders>
          <w:top w:val="single" w:color="E6EFEC" w:sz="4"/>
          <w:left w:val="single" w:color="0E5A4A" w:sz="18"/>
          <w:bottom w:val="single" w:color="E6EFEC" w:sz="4"/>
          <w:right w:val="single" w:color="E6EFEC" w:sz="4"/>
          <w:insideH w:val="none"/>
          <w:insideV w:val="none"/>
        </w:tblBorders>
      </w:tblPr>
      <w:tblGrid>
        <w:gridCol w:w="9360"/>
      </w:tblGrid>
      <w:tr>
        <w:tc>
          <w:tcPr>
            <w:tcW w:type="dxa" w:w="9360"/>
            <w:shd w:fill="E6EFEC" w:color="auto" w:val="clear"/>
            <w:tcMar>
              <w:top w:type="dxa" w:w="140"/>
              <w:left w:type="dxa" w:w="200"/>
              <w:bottom w:type="dxa" w:w="140"/>
              <w:right w:type="dxa" w:w="180"/>
            </w:tcMar>
          </w:tcPr>
          <w:p>
            <w:pPr>
              <w:spacing w:after="60"/>
            </w:pPr>
            <w:r>
              <w:rPr>
                <w:rFonts w:ascii="Calibri" w:cs="Calibri" w:eastAsia="Calibri" w:hAnsi="Calibri"/>
                <w:b/>
                <w:bCs/>
                <w:color w:val="0E5A4A"/>
                <w:sz w:val="20"/>
                <w:szCs w:val="20"/>
              </w:rPr>
              <w:t xml:space="preserve">Para qué sirve este documento</w:t>
            </w:r>
          </w:p>
          <w:p>
            <w:pPr>
              <w:spacing w:after="0" w:line="270"/>
            </w:pPr>
            <w:r>
              <w:rPr>
                <w:rFonts w:ascii="Calibri" w:cs="Calibri" w:eastAsia="Calibri" w:hAnsi="Calibri"/>
                <w:color w:val="1A2B2E"/>
                <w:sz w:val="20"/>
                <w:szCs w:val="20"/>
              </w:rPr>
              <w:t xml:space="preserve">Define cómo se mide el éxito del proyecto. Cada indicador incluye su fórmula, la fuente de donde se obtiene el dato, la meta comprometida, con qué frecuencia se revisa y quién responde por él. Sin esa precisión un indicador no es medible y no sirve para tomar decisiones.</w:t>
            </w:r>
          </w:p>
        </w:tc>
      </w:tr>
    </w:tbl>
    <w:p>
      <w:r>
        <w:br w:type="page"/>
      </w:r>
    </w:p>
    <w:p>
      <w:pPr>
        <w:pStyle w:val="Heading1"/>
        <w:spacing w:after="180" w:before="360"/>
      </w:pPr>
      <w:r>
        <w:rPr>
          <w:rFonts w:ascii="Calibri" w:cs="Calibri" w:eastAsia="Calibri" w:hAnsi="Calibri"/>
          <w:b/>
          <w:bCs/>
          <w:color w:val="0E5A4A"/>
          <w:sz w:val="30"/>
          <w:szCs w:val="30"/>
        </w:rPr>
        <w:t xml:space="preserve">Tabla de contenido</w:t>
      </w:r>
    </w:p>
    <w:p>
      <w:pPr>
        <w:spacing w:after="200" w:line="276"/>
      </w:pPr>
      <w:r>
        <w:rPr>
          <w:rFonts w:ascii="Calibri" w:cs="Calibri" w:eastAsia="Calibri" w:hAnsi="Calibri"/>
          <w:i/>
          <w:iCs/>
          <w:color w:val="5F7378"/>
          <w:sz w:val="18"/>
          <w:szCs w:val="18"/>
        </w:rPr>
        <w:t xml:space="preserve">Para actualizar la numeración: clic derecho sobre la tabla y elegir "Actualizar campos".</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0E5A4A"/>
          <w:sz w:val="30"/>
          <w:szCs w:val="30"/>
        </w:rPr>
        <w:t xml:space="preserve">1. Cómo leer este documento</w:t>
      </w:r>
    </w:p>
    <w:p>
      <w:pPr>
        <w:spacing w:after="120" w:line="276"/>
      </w:pPr>
      <w:r>
        <w:rPr>
          <w:rFonts w:ascii="Calibri" w:cs="Calibri" w:eastAsia="Calibri" w:hAnsi="Calibri"/>
          <w:color w:val="1A2B2E"/>
          <w:sz w:val="21"/>
          <w:szCs w:val="21"/>
        </w:rPr>
        <w:t xml:space="preserve">Los indicadores se agrupan por lo que miden. Cada grupo responde una pregunta distinta sobre la salud del proyecto.</w:t>
      </w:r>
    </w:p>
    <w:p>
      <w:pPr>
        <w:spacing w:after="80"/>
      </w:pP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1000"/>
        <w:gridCol w:w="2600"/>
        <w:gridCol w:w="5760"/>
      </w:tblGrid>
      <w:tr>
        <w:trPr>
          <w:tblHeader/>
        </w:trPr>
        <w:tc>
          <w:tcPr>
            <w:tcW w:type="dxa" w:w="10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Grupo</w:t>
            </w:r>
          </w:p>
        </w:tc>
        <w:tc>
          <w:tcPr>
            <w:tcW w:type="dxa" w:w="26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Nombre</w:t>
            </w:r>
          </w:p>
        </w:tc>
        <w:tc>
          <w:tcPr>
            <w:tcW w:type="dxa" w:w="57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Pregunta que responde</w:t>
            </w:r>
          </w:p>
        </w:tc>
      </w:tr>
      <w:tr>
        <w:tc>
          <w:tcPr>
            <w:tcW w:type="dxa" w:w="1000"/>
            <w:tcMar>
              <w:top w:type="dxa" w:w="80"/>
              <w:left w:type="dxa" w:w="120"/>
              <w:bottom w:type="dxa" w:w="80"/>
              <w:right w:type="dxa" w:w="120"/>
            </w:tcMar>
            <w:vAlign w:val="top"/>
          </w:tcPr>
          <w:p>
            <w:pPr>
              <w:spacing w:after="0" w:line="260"/>
            </w:pPr>
            <w:r>
              <w:rPr>
                <w:rFonts w:ascii="Consolas" w:cs="Consolas" w:eastAsia="Consolas" w:hAnsi="Consolas"/>
                <w:b/>
                <w:bCs/>
                <w:color w:val="1A2B2E"/>
                <w:sz w:val="19"/>
                <w:szCs w:val="19"/>
              </w:rPr>
              <w:t xml:space="preserve">A</w:t>
            </w:r>
          </w:p>
        </w:tc>
        <w:tc>
          <w:tcPr>
            <w:tcW w:type="dxa" w:w="26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Adopción y retención</w:t>
            </w:r>
          </w:p>
        </w:tc>
        <w:tc>
          <w:tcPr>
            <w:tcW w:type="dxa" w:w="5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¿La gente llega y vuelve?</w:t>
            </w:r>
          </w:p>
        </w:tc>
      </w:tr>
      <w:tr>
        <w:tc>
          <w:tcPr>
            <w:tcW w:type="dxa" w:w="1000"/>
            <w:tcMar>
              <w:top w:type="dxa" w:w="80"/>
              <w:left w:type="dxa" w:w="120"/>
              <w:bottom w:type="dxa" w:w="80"/>
              <w:right w:type="dxa" w:w="120"/>
            </w:tcMar>
            <w:vAlign w:val="top"/>
          </w:tcPr>
          <w:p>
            <w:pPr>
              <w:spacing w:after="0" w:line="260"/>
            </w:pPr>
            <w:r>
              <w:rPr>
                <w:rFonts w:ascii="Consolas" w:cs="Consolas" w:eastAsia="Consolas" w:hAnsi="Consolas"/>
                <w:b/>
                <w:bCs/>
                <w:color w:val="1A2B2E"/>
                <w:sz w:val="19"/>
                <w:szCs w:val="19"/>
              </w:rPr>
              <w:t xml:space="preserve">B</w:t>
            </w:r>
          </w:p>
        </w:tc>
        <w:tc>
          <w:tcPr>
            <w:tcW w:type="dxa" w:w="26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Descubrimiento y agente</w:t>
            </w:r>
          </w:p>
        </w:tc>
        <w:tc>
          <w:tcPr>
            <w:tcW w:type="dxa" w:w="5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¿Usan el producto como lo diseñamos?</w:t>
            </w:r>
          </w:p>
        </w:tc>
      </w:tr>
      <w:tr>
        <w:tc>
          <w:tcPr>
            <w:tcW w:type="dxa" w:w="1000"/>
            <w:tcMar>
              <w:top w:type="dxa" w:w="80"/>
              <w:left w:type="dxa" w:w="120"/>
              <w:bottom w:type="dxa" w:w="80"/>
              <w:right w:type="dxa" w:w="120"/>
            </w:tcMar>
            <w:vAlign w:val="top"/>
          </w:tcPr>
          <w:p>
            <w:pPr>
              <w:spacing w:after="0" w:line="260"/>
            </w:pPr>
            <w:r>
              <w:rPr>
                <w:rFonts w:ascii="Consolas" w:cs="Consolas" w:eastAsia="Consolas" w:hAnsi="Consolas"/>
                <w:b/>
                <w:bCs/>
                <w:color w:val="1A2B2E"/>
                <w:sz w:val="19"/>
                <w:szCs w:val="19"/>
              </w:rPr>
              <w:t xml:space="preserve">C</w:t>
            </w:r>
          </w:p>
        </w:tc>
        <w:tc>
          <w:tcPr>
            <w:tcW w:type="dxa" w:w="26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Conversión y monetización</w:t>
            </w:r>
          </w:p>
        </w:tc>
        <w:tc>
          <w:tcPr>
            <w:tcW w:type="dxa" w:w="5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¿El uso se convierte en dinero?</w:t>
            </w:r>
          </w:p>
        </w:tc>
      </w:tr>
      <w:tr>
        <w:tc>
          <w:tcPr>
            <w:tcW w:type="dxa" w:w="1000"/>
            <w:tcMar>
              <w:top w:type="dxa" w:w="80"/>
              <w:left w:type="dxa" w:w="120"/>
              <w:bottom w:type="dxa" w:w="80"/>
              <w:right w:type="dxa" w:w="120"/>
            </w:tcMar>
            <w:vAlign w:val="top"/>
          </w:tcPr>
          <w:p>
            <w:pPr>
              <w:spacing w:after="0" w:line="260"/>
            </w:pPr>
            <w:r>
              <w:rPr>
                <w:rFonts w:ascii="Consolas" w:cs="Consolas" w:eastAsia="Consolas" w:hAnsi="Consolas"/>
                <w:b/>
                <w:bCs/>
                <w:color w:val="1A2B2E"/>
                <w:sz w:val="19"/>
                <w:szCs w:val="19"/>
              </w:rPr>
              <w:t xml:space="preserve">D</w:t>
            </w:r>
          </w:p>
        </w:tc>
        <w:tc>
          <w:tcPr>
            <w:tcW w:type="dxa" w:w="26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Indicadores técnicos</w:t>
            </w:r>
          </w:p>
        </w:tc>
        <w:tc>
          <w:tcPr>
            <w:tcW w:type="dxa" w:w="5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¿El sistema es correcto y confiable?</w:t>
            </w:r>
          </w:p>
        </w:tc>
      </w:tr>
      <w:tr>
        <w:tc>
          <w:tcPr>
            <w:tcW w:type="dxa" w:w="1000"/>
            <w:tcMar>
              <w:top w:type="dxa" w:w="80"/>
              <w:left w:type="dxa" w:w="120"/>
              <w:bottom w:type="dxa" w:w="80"/>
              <w:right w:type="dxa" w:w="120"/>
            </w:tcMar>
            <w:vAlign w:val="top"/>
          </w:tcPr>
          <w:p>
            <w:pPr>
              <w:spacing w:after="0" w:line="260"/>
            </w:pPr>
            <w:r>
              <w:rPr>
                <w:rFonts w:ascii="Consolas" w:cs="Consolas" w:eastAsia="Consolas" w:hAnsi="Consolas"/>
                <w:b/>
                <w:bCs/>
                <w:color w:val="1A2B2E"/>
                <w:sz w:val="19"/>
                <w:szCs w:val="19"/>
              </w:rPr>
              <w:t xml:space="preserve">E</w:t>
            </w:r>
          </w:p>
        </w:tc>
        <w:tc>
          <w:tcPr>
            <w:tcW w:type="dxa" w:w="26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Gamificación</w:t>
            </w:r>
          </w:p>
        </w:tc>
        <w:tc>
          <w:tcPr>
            <w:tcW w:type="dxa" w:w="5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¿El minijuego aporta o distrae?</w:t>
            </w:r>
          </w:p>
        </w:tc>
      </w:tr>
    </w:tbl>
    <w:p>
      <w:pPr>
        <w:spacing w:after="200"/>
      </w:pPr>
    </w:p>
    <w:tbl>
      <w:tblPr>
        <w:tblW w:type="dxa" w:w="9360"/>
        <w:tblBorders>
          <w:top w:val="single" w:color="FAEBEF" w:sz="4"/>
          <w:left w:val="single" w:color="A82346" w:sz="18"/>
          <w:bottom w:val="single" w:color="FAEBEF" w:sz="4"/>
          <w:right w:val="single" w:color="FAEBEF" w:sz="4"/>
          <w:insideH w:val="none"/>
          <w:insideV w:val="none"/>
        </w:tblBorders>
      </w:tblPr>
      <w:tblGrid>
        <w:gridCol w:w="9360"/>
      </w:tblGrid>
      <w:tr>
        <w:tc>
          <w:tcPr>
            <w:tcW w:type="dxa" w:w="9360"/>
            <w:shd w:fill="FAEBEF" w:color="auto" w:val="clear"/>
            <w:tcMar>
              <w:top w:type="dxa" w:w="140"/>
              <w:left w:type="dxa" w:w="200"/>
              <w:bottom w:type="dxa" w:w="140"/>
              <w:right w:type="dxa" w:w="180"/>
            </w:tcMar>
          </w:tcPr>
          <w:p>
            <w:pPr>
              <w:spacing w:after="60"/>
            </w:pPr>
            <w:r>
              <w:rPr>
                <w:rFonts w:ascii="Calibri" w:cs="Calibri" w:eastAsia="Calibri" w:hAnsi="Calibri"/>
                <w:b/>
                <w:bCs/>
                <w:color w:val="A82346"/>
                <w:sz w:val="20"/>
                <w:szCs w:val="20"/>
              </w:rPr>
              <w:t xml:space="preserve">Dos clases de indicador</w:t>
            </w:r>
          </w:p>
          <w:p>
            <w:pPr>
              <w:spacing w:after="0" w:line="270"/>
            </w:pPr>
            <w:r>
              <w:rPr>
                <w:rFonts w:ascii="Calibri" w:cs="Calibri" w:eastAsia="Calibri" w:hAnsi="Calibri"/>
                <w:color w:val="1A2B2E"/>
                <w:sz w:val="20"/>
                <w:szCs w:val="20"/>
              </w:rPr>
              <w:t xml:space="preserve">La mayoría de los indicadores de este documento son metas de desempeño: se aspira a alcanzarlas y quedarse corto es una señal para ajustar. Pero los indicadores del grupo D marcados como condiciones de corrección son distintos: no admiten aproximación. Un valor distinto de cero significa que el sistema está entregando resultados incorrectos, no que está rindiendo por debajo de lo esperado.</w:t>
            </w:r>
          </w:p>
        </w:tc>
      </w:tr>
    </w:tbl>
    <w:p>
      <w:pPr>
        <w:spacing w:after="200"/>
      </w:pPr>
    </w:p>
    <w:p>
      <w:pPr>
        <w:pStyle w:val="Heading2"/>
        <w:spacing w:after="130" w:before="260"/>
      </w:pPr>
      <w:r>
        <w:rPr>
          <w:rFonts w:ascii="Calibri" w:cs="Calibri" w:eastAsia="Calibri" w:hAnsi="Calibri"/>
          <w:b/>
          <w:bCs/>
          <w:color w:val="1A2B2E"/>
          <w:sz w:val="24"/>
          <w:szCs w:val="24"/>
        </w:rPr>
        <w:t xml:space="preserve">1.1 Instrumentación</w:t>
      </w: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400"/>
        <w:gridCol w:w="6960"/>
      </w:tblGrid>
      <w:tr>
        <w:trPr>
          <w:tblHeader/>
        </w:trPr>
        <w:tc>
          <w:tcPr>
            <w:tcW w:type="dxa" w:w="24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Fuente de datos</w:t>
            </w:r>
          </w:p>
        </w:tc>
        <w:tc>
          <w:tcPr>
            <w:tcW w:type="dxa" w:w="69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Qué indicadores alimenta</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Analítica de producto</w:t>
            </w:r>
          </w:p>
        </w:tc>
        <w:tc>
          <w:tcPr>
            <w:tcW w:type="dxa" w:w="69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Todo el grupo A, el grupo B y el grupo E. Se instrumenta con eventos de producto en la aplicación móvil.</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Base de datos</w:t>
            </w:r>
          </w:p>
        </w:tc>
        <w:tc>
          <w:tcPr>
            <w:tcW w:type="dxa" w:w="69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Grupo C. Reservas, promociones reclamadas y establecimientos activos se consultan directamente sobre las tablas.</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Registro de eventos del sistema</w:t>
            </w:r>
          </w:p>
        </w:tc>
        <w:tc>
          <w:tcPr>
            <w:tcW w:type="dxa" w:w="69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Grupo D. Los conflictos de concurrencia, los rechazos y las reconexiones ya emiten eventos con nombre propio, de modo que el indicador se calcula contando eventos.</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Monitoreo de infraestructura</w:t>
            </w:r>
          </w:p>
        </w:tc>
        <w:tc>
          <w:tcPr>
            <w:tcW w:type="dxa" w:w="69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Latencias y disponibilidad del canal de tiempo real.</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Pruebas de carga</w:t>
            </w:r>
          </w:p>
        </w:tc>
        <w:tc>
          <w:tcPr>
            <w:tcW w:type="dxa" w:w="69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Verificación de las condiciones de corrección antes de cada despliegue.</w:t>
            </w:r>
          </w:p>
        </w:tc>
      </w:tr>
    </w:tbl>
    <w:p>
      <w:r>
        <w:br w:type="page"/>
      </w:r>
    </w:p>
    <w:p>
      <w:pPr>
        <w:pStyle w:val="Heading1"/>
        <w:spacing w:after="180" w:before="360"/>
      </w:pPr>
      <w:r>
        <w:rPr>
          <w:rFonts w:ascii="Calibri" w:cs="Calibri" w:eastAsia="Calibri" w:hAnsi="Calibri"/>
          <w:b/>
          <w:bCs/>
          <w:color w:val="0E5A4A"/>
          <w:sz w:val="30"/>
          <w:szCs w:val="30"/>
        </w:rPr>
        <w:t xml:space="preserve">2. Grupo A — Adopción y retención</w:t>
      </w:r>
    </w:p>
    <w:p>
      <w:pPr>
        <w:spacing w:after="120" w:line="276"/>
      </w:pPr>
      <w:r>
        <w:rPr>
          <w:rFonts w:ascii="Calibri" w:cs="Calibri" w:eastAsia="Calibri" w:hAnsi="Calibri"/>
          <w:color w:val="5F7378"/>
          <w:sz w:val="19"/>
          <w:szCs w:val="19"/>
        </w:rPr>
        <w:t xml:space="preserve">Responde si la gente llega al producto y si vuelve. Es el grupo que determina si existe un producto o solo una demostración.</w:t>
      </w:r>
    </w:p>
    <w:p>
      <w:pPr>
        <w:spacing w:after="80"/>
      </w:pP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200"/>
        <w:gridCol w:w="2500"/>
        <w:gridCol w:w="1500"/>
        <w:gridCol w:w="1500"/>
        <w:gridCol w:w="1660"/>
      </w:tblGrid>
      <w:tr>
        <w:trPr>
          <w:tblHeader/>
        </w:trPr>
        <w:tc>
          <w:tcPr>
            <w:tcW w:type="dxa" w:w="22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Indicador</w:t>
            </w:r>
          </w:p>
        </w:tc>
        <w:tc>
          <w:tcPr>
            <w:tcW w:type="dxa" w:w="25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Fórmula</w:t>
            </w:r>
          </w:p>
        </w:tc>
        <w:tc>
          <w:tcPr>
            <w:tcW w:type="dxa" w:w="15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Meta MVP</w:t>
            </w:r>
          </w:p>
        </w:tc>
        <w:tc>
          <w:tcPr>
            <w:tcW w:type="dxa" w:w="15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Frecuencia</w:t>
            </w:r>
          </w:p>
        </w:tc>
        <w:tc>
          <w:tcPr>
            <w:tcW w:type="dxa" w:w="16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Responsable</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Usuarios activos mensuales</w:t>
            </w:r>
          </w:p>
        </w:tc>
        <w:tc>
          <w:tcPr>
            <w:tcW w:type="dxa" w:w="2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Usuarios únicos con al menos una sesión en el mes.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5.000</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c>
          <w:tcPr>
            <w:tcW w:type="dxa" w:w="16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Usuarios activos diarios</w:t>
            </w:r>
          </w:p>
        </w:tc>
        <w:tc>
          <w:tcPr>
            <w:tcW w:type="dxa" w:w="2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Usuarios únicos con al menos una sesión en el día.</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750</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Diaria</w:t>
            </w:r>
          </w:p>
        </w:tc>
        <w:tc>
          <w:tcPr>
            <w:tcW w:type="dxa" w:w="16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Adherencia</w:t>
            </w:r>
          </w:p>
        </w:tc>
        <w:tc>
          <w:tcPr>
            <w:tcW w:type="dxa" w:w="2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Activos diarios dividido entre activos mensuales.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15 %</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6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Retención a 7 días</w:t>
            </w:r>
          </w:p>
        </w:tc>
        <w:tc>
          <w:tcPr>
            <w:tcW w:type="dxa" w:w="2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 usuarios que regresa una semana después de su primera sesión.</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25 %</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6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Retención a 30 días</w:t>
            </w:r>
          </w:p>
        </w:tc>
        <w:tc>
          <w:tcPr>
            <w:tcW w:type="dxa" w:w="2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 usuarios que sigue activo un mes después del registro.</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12 %</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c>
          <w:tcPr>
            <w:tcW w:type="dxa" w:w="16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Tiempo al primer plan</w:t>
            </w:r>
          </w:p>
        </w:tc>
        <w:tc>
          <w:tcPr>
            <w:tcW w:type="dxa" w:w="2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Mediana de minutos entre el registro y la primera reserva o reclamo.</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&lt; 10 min</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c>
          <w:tcPr>
            <w:tcW w:type="dxa" w:w="16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Establecimientos activos</w:t>
            </w:r>
          </w:p>
        </w:tc>
        <w:tc>
          <w:tcPr>
            <w:tcW w:type="dxa" w:w="2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Negocios con inventario actualizado en los últimos siete días.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40</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6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Comercial</w:t>
            </w:r>
          </w:p>
        </w:tc>
      </w:tr>
    </w:tbl>
    <w:p>
      <w:pPr>
        <w:spacing w:after="160"/>
      </w:pPr>
    </w:p>
    <w:p>
      <w:pPr>
        <w:spacing w:after="120" w:line="276"/>
      </w:pPr>
      <w:r>
        <w:rPr>
          <w:rFonts w:ascii="Calibri" w:cs="Calibri" w:eastAsia="Calibri" w:hAnsi="Calibri"/>
          <w:b/>
          <w:bCs/>
          <w:color w:val="1A2B2E"/>
          <w:sz w:val="21"/>
          <w:szCs w:val="21"/>
        </w:rPr>
        <w:t xml:space="preserve">Cómo interpretarlo. </w:t>
      </w:r>
      <w:r>
        <w:rPr>
          <w:rFonts w:ascii="Calibri" w:cs="Calibri" w:eastAsia="Calibri" w:hAnsi="Calibri"/>
          <w:color w:val="1A2B2E"/>
          <w:sz w:val="21"/>
          <w:szCs w:val="21"/>
        </w:rPr>
        <w:t xml:space="preserve">El indicador decisivo de este grupo es la retención a treinta días, no el número de usuarios activos. Un producto puede inflar la adopción con esfuerzo comercial, pero la retención revela si resuelve un problema real. Si la adopción sube mientras la retención cae, el producto está atrayendo gente que no encuentra valor.</w:t>
      </w:r>
    </w:p>
    <w:p>
      <w:pPr>
        <w:pStyle w:val="Heading1"/>
        <w:spacing w:after="180" w:before="360"/>
      </w:pPr>
      <w:r>
        <w:rPr>
          <w:rFonts w:ascii="Calibri" w:cs="Calibri" w:eastAsia="Calibri" w:hAnsi="Calibri"/>
          <w:b/>
          <w:bCs/>
          <w:color w:val="0E5A4A"/>
          <w:sz w:val="30"/>
          <w:szCs w:val="30"/>
        </w:rPr>
        <w:t xml:space="preserve">3. Grupo B — Descubrimiento y uso del agente</w:t>
      </w:r>
    </w:p>
    <w:p>
      <w:pPr>
        <w:spacing w:after="120" w:line="276"/>
      </w:pPr>
      <w:r>
        <w:rPr>
          <w:rFonts w:ascii="Calibri" w:cs="Calibri" w:eastAsia="Calibri" w:hAnsi="Calibri"/>
          <w:color w:val="5F7378"/>
          <w:sz w:val="19"/>
          <w:szCs w:val="19"/>
        </w:rPr>
        <w:t xml:space="preserve">Responde si los usuarios utilizan el producto de la forma en que fue diseñado, o si se quedan en la superficie.</w:t>
      </w:r>
    </w:p>
    <w:p>
      <w:pPr>
        <w:spacing w:after="80"/>
      </w:pP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200"/>
        <w:gridCol w:w="2900"/>
        <w:gridCol w:w="1500"/>
        <w:gridCol w:w="1500"/>
        <w:gridCol w:w="1260"/>
      </w:tblGrid>
      <w:tr>
        <w:trPr>
          <w:tblHeader/>
        </w:trPr>
        <w:tc>
          <w:tcPr>
            <w:tcW w:type="dxa" w:w="22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Indicador</w:t>
            </w:r>
          </w:p>
        </w:tc>
        <w:tc>
          <w:tcPr>
            <w:tcW w:type="dxa" w:w="29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Fórmula</w:t>
            </w:r>
          </w:p>
        </w:tc>
        <w:tc>
          <w:tcPr>
            <w:tcW w:type="dxa" w:w="15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Meta MVP</w:t>
            </w:r>
          </w:p>
        </w:tc>
        <w:tc>
          <w:tcPr>
            <w:tcW w:type="dxa" w:w="15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Frecuencia</w:t>
            </w:r>
          </w:p>
        </w:tc>
        <w:tc>
          <w:tcPr>
            <w:tcW w:type="dxa" w:w="12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Responsable</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Lugares vistos por sesión</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Fichas de establecimiento abiertas dividido entre número de sesiones.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4</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Uso de filtros</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 sesiones en que se aplica al menos un filtro.</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50 %</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Uso del agente</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 usuarios activos que solicita al menos una ruta.</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30 %</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Aceptación de rutas</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Rutas aceptadas dividido entre rutas propuestas.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40 %</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Rutas completadas</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Rutas en que todas las paradas se confirmaron, sobre rutas ejecutadas.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80 %</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Ingeniería</w:t>
            </w:r>
          </w:p>
        </w:tc>
      </w:tr>
      <w:tr>
        <w:tc>
          <w:tcPr>
            <w:tcW w:type="dxa" w:w="22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Sustituciones por ruta</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Promedio de paradas sustituidas automáticamente por ruta ejecutada.</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&lt; 0,5</w:t>
            </w:r>
          </w:p>
        </w:tc>
        <w:tc>
          <w:tcPr>
            <w:tcW w:type="dxa" w:w="15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Ingeniería</w:t>
            </w:r>
          </w:p>
        </w:tc>
      </w:tr>
    </w:tbl>
    <w:p>
      <w:pPr>
        <w:spacing w:after="160"/>
      </w:pPr>
    </w:p>
    <w:p>
      <w:pPr>
        <w:spacing w:after="120" w:line="276"/>
      </w:pPr>
      <w:r>
        <w:rPr>
          <w:rFonts w:ascii="Calibri" w:cs="Calibri" w:eastAsia="Calibri" w:hAnsi="Calibri"/>
          <w:b/>
          <w:bCs/>
          <w:color w:val="1A2B2E"/>
          <w:sz w:val="21"/>
          <w:szCs w:val="21"/>
        </w:rPr>
        <w:t xml:space="preserve">Cómo interpretarlo. </w:t>
      </w:r>
      <w:r>
        <w:rPr>
          <w:rFonts w:ascii="Calibri" w:cs="Calibri" w:eastAsia="Calibri" w:hAnsi="Calibri"/>
          <w:color w:val="1A2B2E"/>
          <w:sz w:val="21"/>
          <w:szCs w:val="21"/>
        </w:rPr>
        <w:t xml:space="preserve">Una tasa de aceptación de rutas baja no significa necesariamente que el agente funcione mal: puede indicar que propone lugares demasiado caros o demasiado lejanos. Conviene cruzarla con las razones de rechazo antes de concluir nada. Un número alto de sustituciones, en cambio, apunta a inventario desactualizado por parte de los establecimientos.</w:t>
      </w:r>
    </w:p>
    <w:p>
      <w:r>
        <w:br w:type="page"/>
      </w:r>
    </w:p>
    <w:p>
      <w:pPr>
        <w:pStyle w:val="Heading1"/>
        <w:spacing w:after="180" w:before="360"/>
      </w:pPr>
      <w:r>
        <w:rPr>
          <w:rFonts w:ascii="Calibri" w:cs="Calibri" w:eastAsia="Calibri" w:hAnsi="Calibri"/>
          <w:b/>
          <w:bCs/>
          <w:color w:val="0E5A4A"/>
          <w:sz w:val="30"/>
          <w:szCs w:val="30"/>
        </w:rPr>
        <w:t xml:space="preserve">4. Grupo C — Conversión y monetización</w:t>
      </w:r>
    </w:p>
    <w:p>
      <w:pPr>
        <w:spacing w:after="120" w:line="276"/>
      </w:pPr>
      <w:r>
        <w:rPr>
          <w:rFonts w:ascii="Calibri" w:cs="Calibri" w:eastAsia="Calibri" w:hAnsi="Calibri"/>
          <w:color w:val="5F7378"/>
          <w:sz w:val="19"/>
          <w:szCs w:val="19"/>
        </w:rPr>
        <w:t xml:space="preserve">Responde si el uso del producto se traduce en dinero, tanto para el establecimiento como para la plataforma.</w:t>
      </w:r>
    </w:p>
    <w:p>
      <w:pPr>
        <w:spacing w:after="80"/>
      </w:pP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300"/>
        <w:gridCol w:w="2900"/>
        <w:gridCol w:w="1500"/>
        <w:gridCol w:w="1400"/>
        <w:gridCol w:w="1260"/>
      </w:tblGrid>
      <w:tr>
        <w:trPr>
          <w:tblHeader/>
        </w:trPr>
        <w:tc>
          <w:tcPr>
            <w:tcW w:type="dxa" w:w="23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Indicador</w:t>
            </w:r>
          </w:p>
        </w:tc>
        <w:tc>
          <w:tcPr>
            <w:tcW w:type="dxa" w:w="29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Fórmula</w:t>
            </w:r>
          </w:p>
        </w:tc>
        <w:tc>
          <w:tcPr>
            <w:tcW w:type="dxa" w:w="15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Meta MVP</w:t>
            </w:r>
          </w:p>
        </w:tc>
        <w:tc>
          <w:tcPr>
            <w:tcW w:type="dxa" w:w="14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Frecuencia</w:t>
            </w:r>
          </w:p>
        </w:tc>
        <w:tc>
          <w:tcPr>
            <w:tcW w:type="dxa" w:w="12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Responsable</w:t>
            </w:r>
          </w:p>
        </w:tc>
      </w:tr>
      <w:tr>
        <w:tc>
          <w:tcPr>
            <w:tcW w:type="dxa" w:w="23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Conversión a reserva</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Reservas confirmadas dividido entre fichas de establecimiento abiertas.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8 %</w:t>
            </w:r>
          </w:p>
        </w:tc>
        <w:tc>
          <w:tcPr>
            <w:tcW w:type="dxa" w:w="14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3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Reservas por usuario</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Reservas confirmadas dividido entre usuarios activos del mes.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1,5</w:t>
            </w:r>
          </w:p>
        </w:tc>
        <w:tc>
          <w:tcPr>
            <w:tcW w:type="dxa" w:w="14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Producto</w:t>
            </w:r>
          </w:p>
        </w:tc>
      </w:tr>
      <w:tr>
        <w:tc>
          <w:tcPr>
            <w:tcW w:type="dxa" w:w="23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Tasa de inasistencia</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Reservas confirmadas sin confirmación de llegada, sobre el total confirmado.</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&lt; 15 %</w:t>
            </w:r>
          </w:p>
        </w:tc>
        <w:tc>
          <w:tcPr>
            <w:tcW w:type="dxa" w:w="14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Operaciones</w:t>
            </w:r>
          </w:p>
        </w:tc>
      </w:tr>
      <w:tr>
        <w:tc>
          <w:tcPr>
            <w:tcW w:type="dxa" w:w="23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Promociones reclamadas</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Cupones entregados dividido entre cupones ofrecidos.</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70 %</w:t>
            </w:r>
          </w:p>
        </w:tc>
        <w:tc>
          <w:tcPr>
            <w:tcW w:type="dxa" w:w="14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Comercial</w:t>
            </w:r>
          </w:p>
        </w:tc>
      </w:tr>
      <w:tr>
        <w:tc>
          <w:tcPr>
            <w:tcW w:type="dxa" w:w="23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Tiempo hasta agotarse</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Mediana de minutos entre el lanzamiento y el agotamiento del stock.</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&lt; 20 min</w:t>
            </w:r>
          </w:p>
        </w:tc>
        <w:tc>
          <w:tcPr>
            <w:tcW w:type="dxa" w:w="14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Semanal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Comercial</w:t>
            </w:r>
          </w:p>
        </w:tc>
      </w:tr>
      <w:tr>
        <w:tc>
          <w:tcPr>
            <w:tcW w:type="dxa" w:w="23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Ingreso por establecimiento</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Ingreso total del mes dividido entre establecimientos activos.</w:t>
            </w:r>
          </w:p>
        </w:tc>
        <w:tc>
          <w:tcPr>
            <w:tcW w:type="dxa" w:w="1500"/>
            <w:tcMar>
              <w:top w:type="dxa" w:w="80"/>
              <w:left w:type="dxa" w:w="120"/>
              <w:bottom w:type="dxa" w:w="80"/>
              <w:right w:type="dxa" w:w="120"/>
            </w:tcMar>
            <w:vAlign w:val="top"/>
          </w:tcPr>
          <w:p>
            <w:pPr>
              <w:spacing w:after="0" w:line="260"/>
              <w:jc w:val="right"/>
            </w:pPr>
            <w:r>
              <w:rPr>
                <w:rFonts w:ascii="Calibri" w:cs="Calibri" w:eastAsia="Calibri" w:hAnsi="Calibri"/>
                <w:color w:val="1A2B2E"/>
                <w:sz w:val="19"/>
                <w:szCs w:val="19"/>
              </w:rPr>
              <w:t xml:space="preserve">Por definir</w:t>
            </w:r>
          </w:p>
        </w:tc>
        <w:tc>
          <w:tcPr>
            <w:tcW w:type="dxa" w:w="14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Dirección</w:t>
            </w:r>
          </w:p>
        </w:tc>
      </w:tr>
      <w:tr>
        <w:tc>
          <w:tcPr>
            <w:tcW w:type="dxa" w:w="23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Retención de establecimientos</w:t>
            </w:r>
          </w:p>
        </w:tc>
        <w:tc>
          <w:tcPr>
            <w:tcW w:type="dxa" w:w="29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 negocios que sigue activo al tercer mes de vinculación.</w:t>
            </w:r>
          </w:p>
        </w:tc>
        <w:tc>
          <w:tcPr>
            <w:tcW w:type="dxa" w:w="15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70 %</w:t>
            </w:r>
          </w:p>
        </w:tc>
        <w:tc>
          <w:tcPr>
            <w:tcW w:type="dxa" w:w="14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c>
          <w:tcPr>
            <w:tcW w:type="dxa" w:w="1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Comercial</w:t>
            </w:r>
          </w:p>
        </w:tc>
      </w:tr>
    </w:tbl>
    <w:p>
      <w:pPr>
        <w:spacing w:after="160"/>
      </w:pPr>
    </w:p>
    <w:tbl>
      <w:tblPr>
        <w:tblW w:type="dxa" w:w="9360"/>
        <w:tblBorders>
          <w:top w:val="single" w:color="E6EFEC" w:sz="4"/>
          <w:left w:val="single" w:color="0E5A4A" w:sz="18"/>
          <w:bottom w:val="single" w:color="E6EFEC" w:sz="4"/>
          <w:right w:val="single" w:color="E6EFEC" w:sz="4"/>
          <w:insideH w:val="none"/>
          <w:insideV w:val="none"/>
        </w:tblBorders>
      </w:tblPr>
      <w:tblGrid>
        <w:gridCol w:w="9360"/>
      </w:tblGrid>
      <w:tr>
        <w:tc>
          <w:tcPr>
            <w:tcW w:type="dxa" w:w="9360"/>
            <w:shd w:fill="E6EFEC" w:color="auto" w:val="clear"/>
            <w:tcMar>
              <w:top w:type="dxa" w:w="140"/>
              <w:left w:type="dxa" w:w="200"/>
              <w:bottom w:type="dxa" w:w="140"/>
              <w:right w:type="dxa" w:w="180"/>
            </w:tcMar>
          </w:tcPr>
          <w:p>
            <w:pPr>
              <w:spacing w:after="60"/>
            </w:pPr>
            <w:r>
              <w:rPr>
                <w:rFonts w:ascii="Calibri" w:cs="Calibri" w:eastAsia="Calibri" w:hAnsi="Calibri"/>
                <w:b/>
                <w:bCs/>
                <w:color w:val="0E5A4A"/>
                <w:sz w:val="20"/>
                <w:szCs w:val="20"/>
              </w:rPr>
              <w:t xml:space="preserve">El indicador que más importa de este grupo</w:t>
            </w:r>
          </w:p>
          <w:p>
            <w:pPr>
              <w:spacing w:after="0" w:line="270"/>
            </w:pPr>
            <w:r>
              <w:rPr>
                <w:rFonts w:ascii="Calibri" w:cs="Calibri" w:eastAsia="Calibri" w:hAnsi="Calibri"/>
                <w:color w:val="1A2B2E"/>
                <w:sz w:val="20"/>
                <w:szCs w:val="20"/>
              </w:rPr>
              <w:t xml:space="preserve">La retención de establecimientos al tercer mes. Es la prueba real de que el producto les genera valor: un negocio que no vende más deja de actualizar su inventario, y cuando eso ocurre el mapa se llena de información falsa y el producto entero se degrada. Vigilarlo es más importante que perseguir usuarios nuevos.</w:t>
            </w:r>
          </w:p>
        </w:tc>
      </w:tr>
    </w:tbl>
    <w:p>
      <w:r>
        <w:br w:type="page"/>
      </w:r>
    </w:p>
    <w:p>
      <w:pPr>
        <w:pStyle w:val="Heading1"/>
        <w:spacing w:after="180" w:before="360"/>
      </w:pPr>
      <w:r>
        <w:rPr>
          <w:rFonts w:ascii="Calibri" w:cs="Calibri" w:eastAsia="Calibri" w:hAnsi="Calibri"/>
          <w:b/>
          <w:bCs/>
          <w:color w:val="0E5A4A"/>
          <w:sz w:val="30"/>
          <w:szCs w:val="30"/>
        </w:rPr>
        <w:t xml:space="preserve">5. Grupo D — Indicadores técnicos</w:t>
      </w:r>
    </w:p>
    <w:p>
      <w:pPr>
        <w:spacing w:after="120" w:line="276"/>
      </w:pPr>
      <w:r>
        <w:rPr>
          <w:rFonts w:ascii="Calibri" w:cs="Calibri" w:eastAsia="Calibri" w:hAnsi="Calibri"/>
          <w:color w:val="5F7378"/>
          <w:sz w:val="19"/>
          <w:szCs w:val="19"/>
        </w:rPr>
        <w:t xml:space="preserve">Cada indicador de este grupo valida directamente uno de los seis retos obligatorios del proyecto. No son métricas de infraestructura genéricas: son la evidencia de que los retos quedaron correctamente resueltos.</w:t>
      </w:r>
    </w:p>
    <w:p>
      <w:pPr>
        <w:spacing w:after="80"/>
      </w:pPr>
    </w:p>
    <w:p>
      <w:pPr>
        <w:pStyle w:val="Heading2"/>
        <w:spacing w:after="130" w:before="260"/>
      </w:pPr>
      <w:r>
        <w:rPr>
          <w:rFonts w:ascii="Calibri" w:cs="Calibri" w:eastAsia="Calibri" w:hAnsi="Calibri"/>
          <w:b/>
          <w:bCs/>
          <w:color w:val="1A2B2E"/>
          <w:sz w:val="24"/>
          <w:szCs w:val="24"/>
        </w:rPr>
        <w:t xml:space="preserve">5.1 Condiciones de corrección</w:t>
      </w:r>
    </w:p>
    <w:p>
      <w:pPr>
        <w:spacing w:after="120" w:line="276"/>
      </w:pPr>
      <w:r>
        <w:rPr>
          <w:rFonts w:ascii="Calibri" w:cs="Calibri" w:eastAsia="Calibri" w:hAnsi="Calibri"/>
          <w:color w:val="5F7378"/>
          <w:sz w:val="19"/>
          <w:szCs w:val="19"/>
        </w:rPr>
        <w:t xml:space="preserve">No admiten aproximación. Un valor distinto del esperado significa que el sistema está produciendo resultados incorrectos.</w:t>
      </w: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900"/>
        <w:gridCol w:w="1300"/>
        <w:gridCol w:w="3260"/>
        <w:gridCol w:w="1900"/>
      </w:tblGrid>
      <w:tr>
        <w:trPr>
          <w:tblHeader/>
        </w:trPr>
        <w:tc>
          <w:tcPr>
            <w:tcW w:type="dxa" w:w="29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Indicador</w:t>
            </w:r>
          </w:p>
        </w:tc>
        <w:tc>
          <w:tcPr>
            <w:tcW w:type="dxa" w:w="13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Reto</w:t>
            </w:r>
          </w:p>
        </w:tc>
        <w:tc>
          <w:tcPr>
            <w:tcW w:type="dxa" w:w="32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Cómo se mide</w:t>
            </w:r>
          </w:p>
        </w:tc>
        <w:tc>
          <w:tcPr>
            <w:tcW w:type="dxa" w:w="19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Meta</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Sobreventas de cupos o promociones</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CC-1 · CC-3</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Conteo de casos en que la suma de reservas confirmadas o cupones entregados supera el stock definido. Se verifica en cada prueba de carga y mediante auditoría diaria sobre la base de datos.</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A82346"/>
                <w:sz w:val="19"/>
                <w:szCs w:val="19"/>
              </w:rPr>
              <w:t xml:space="preserve">0</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Eventos perdidos tras reconexión</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RT-2</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Comparación entre la secuencia de eventos emitida por el servidor y la recibida por el cliente después de una reconexión, en pruebas automatizadas de desconexión.</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A82346"/>
                <w:sz w:val="19"/>
                <w:szCs w:val="19"/>
              </w:rPr>
              <w:t xml:space="preserve">0</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Conflictos resueltos correctamente</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CC-1 · CC-2 · CC-3</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 conflictos de concurrencia que terminan en un resultado válido: una confirmación y el resto rechazado, nunca dos confirmaciones ni dos rechazos indebidos.</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A82346"/>
                <w:sz w:val="19"/>
                <w:szCs w:val="19"/>
              </w:rPr>
              <w:t xml:space="preserve">100 %</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Puntuaciones perdidas en el leaderboard</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CC-2</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Conteo de partidas terminadas cuya puntuación no quedó registrada, verificado con escrituras simultáneas en prueba de carga.</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A82346"/>
                <w:sz w:val="19"/>
                <w:szCs w:val="19"/>
              </w:rPr>
              <w:t xml:space="preserve">0</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Notificaciones duplicadas</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RT-2</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 notificaciones mostradas más de una vez al mismo usuario para el mismo evento.</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1A2B2E"/>
                <w:sz w:val="19"/>
                <w:szCs w:val="19"/>
              </w:rPr>
              <w:t xml:space="preserve">&lt; 0,1 %</w:t>
            </w:r>
          </w:p>
        </w:tc>
      </w:tr>
    </w:tbl>
    <w:p>
      <w:pPr>
        <w:spacing w:after="200"/>
      </w:pPr>
    </w:p>
    <w:p>
      <w:pPr>
        <w:pStyle w:val="Heading2"/>
        <w:spacing w:after="130" w:before="260"/>
      </w:pPr>
      <w:r>
        <w:rPr>
          <w:rFonts w:ascii="Calibri" w:cs="Calibri" w:eastAsia="Calibri" w:hAnsi="Calibri"/>
          <w:b/>
          <w:bCs/>
          <w:color w:val="1A2B2E"/>
          <w:sz w:val="24"/>
          <w:szCs w:val="24"/>
        </w:rPr>
        <w:t xml:space="preserve">5.2 Indicadores de rendimiento</w:t>
      </w:r>
    </w:p>
    <w:p>
      <w:pPr>
        <w:spacing w:after="120" w:line="276"/>
      </w:pPr>
      <w:r>
        <w:rPr>
          <w:rFonts w:ascii="Calibri" w:cs="Calibri" w:eastAsia="Calibri" w:hAnsi="Calibri"/>
          <w:color w:val="5F7378"/>
          <w:sz w:val="19"/>
          <w:szCs w:val="19"/>
        </w:rPr>
        <w:t xml:space="preserve">Aquí sí se admite una franja de tolerancia: son metas de calidad de servicio, no de corrección.</w:t>
      </w: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900"/>
        <w:gridCol w:w="1300"/>
        <w:gridCol w:w="3260"/>
        <w:gridCol w:w="1900"/>
      </w:tblGrid>
      <w:tr>
        <w:trPr>
          <w:tblHeader/>
        </w:trPr>
        <w:tc>
          <w:tcPr>
            <w:tcW w:type="dxa" w:w="29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Indicador</w:t>
            </w:r>
          </w:p>
        </w:tc>
        <w:tc>
          <w:tcPr>
            <w:tcW w:type="dxa" w:w="13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Reto</w:t>
            </w:r>
          </w:p>
        </w:tc>
        <w:tc>
          <w:tcPr>
            <w:tcW w:type="dxa" w:w="32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Cómo se mide</w:t>
            </w:r>
          </w:p>
        </w:tc>
        <w:tc>
          <w:tcPr>
            <w:tcW w:type="dxa" w:w="19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Meta</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Latencia p95 de propagación en el mapa</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RT-1</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Tiempo entre el cambio de disponibilidad en el servidor y su reflejo en el cliente suscrito, en el percentil 95.</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1A2B2E"/>
                <w:sz w:val="19"/>
                <w:szCs w:val="19"/>
              </w:rPr>
              <w:t xml:space="preserve">&lt; 500 ms</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Latencia p95 de entrega de promociones</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RT-2</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Tiempo entre el lanzamiento desde el panel y la aparición en el dispositivo del usuario.</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1A2B2E"/>
                <w:sz w:val="19"/>
                <w:szCs w:val="19"/>
              </w:rPr>
              <w:t xml:space="preserve">&lt; 5 s</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Latencia p95 del leaderboard</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RT-3 · CC-2</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Tiempo entre la puntuación registrada y su reflejo en el marcador de los demás jugadores de la sala.</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1A2B2E"/>
                <w:sz w:val="19"/>
                <w:szCs w:val="19"/>
              </w:rPr>
              <w:t xml:space="preserve">&lt; 300 ms</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Disponibilidad del canal en vivo</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RT-1 · RT-2 · RT-3</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del tiempo en que el canal de tiempo real acepta conexiones y difunde eventos.</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1A2B2E"/>
                <w:sz w:val="19"/>
                <w:szCs w:val="19"/>
              </w:rPr>
              <w:t xml:space="preserve">&gt; 99,5 %</w:t>
            </w:r>
          </w:p>
        </w:tc>
      </w:tr>
      <w:tr>
        <w:tc>
          <w:tcPr>
            <w:tcW w:type="dxa" w:w="29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Tiempo de reconexión</w:t>
            </w:r>
          </w:p>
        </w:tc>
        <w:tc>
          <w:tcPr>
            <w:tcW w:type="dxa" w:w="1300"/>
            <w:tcMar>
              <w:top w:type="dxa" w:w="80"/>
              <w:left w:type="dxa" w:w="120"/>
              <w:bottom w:type="dxa" w:w="80"/>
              <w:right w:type="dxa" w:w="120"/>
            </w:tcMar>
            <w:vAlign w:val="top"/>
          </w:tcPr>
          <w:p>
            <w:pPr>
              <w:spacing w:after="0" w:line="260"/>
            </w:pPr>
            <w:r>
              <w:rPr>
                <w:rFonts w:ascii="Consolas" w:cs="Consolas" w:eastAsia="Consolas" w:hAnsi="Consolas"/>
                <w:color w:val="1A2B2E"/>
                <w:sz w:val="19"/>
                <w:szCs w:val="19"/>
              </w:rPr>
              <w:t xml:space="preserve">RT-2</w:t>
            </w:r>
          </w:p>
        </w:tc>
        <w:tc>
          <w:tcPr>
            <w:tcW w:type="dxa" w:w="3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Mediana de segundos entre la recuperación de la red y la sincronización completa del estado.</w:t>
            </w:r>
          </w:p>
        </w:tc>
        <w:tc>
          <w:tcPr>
            <w:tcW w:type="dxa" w:w="1900"/>
            <w:tcMar>
              <w:top w:type="dxa" w:w="80"/>
              <w:left w:type="dxa" w:w="120"/>
              <w:bottom w:type="dxa" w:w="80"/>
              <w:right w:type="dxa" w:w="120"/>
            </w:tcMar>
            <w:vAlign w:val="top"/>
          </w:tcPr>
          <w:p>
            <w:pPr>
              <w:spacing w:after="0" w:line="260"/>
              <w:jc w:val="center"/>
            </w:pPr>
            <w:r>
              <w:rPr>
                <w:rFonts w:ascii="Consolas" w:cs="Consolas" w:eastAsia="Consolas" w:hAnsi="Consolas"/>
                <w:b/>
                <w:bCs/>
                <w:color w:val="1A2B2E"/>
                <w:sz w:val="19"/>
                <w:szCs w:val="19"/>
              </w:rPr>
              <w:t xml:space="preserve">&lt; 3 s</w:t>
            </w:r>
          </w:p>
        </w:tc>
      </w:tr>
    </w:tbl>
    <w:p>
      <w:pPr>
        <w:spacing w:after="200"/>
      </w:pPr>
    </w:p>
    <w:tbl>
      <w:tblPr>
        <w:tblW w:type="dxa" w:w="9360"/>
        <w:tblBorders>
          <w:top w:val="single" w:color="FAEBEF" w:sz="4"/>
          <w:left w:val="single" w:color="A82346" w:sz="18"/>
          <w:bottom w:val="single" w:color="FAEBEF" w:sz="4"/>
          <w:right w:val="single" w:color="FAEBEF" w:sz="4"/>
          <w:insideH w:val="none"/>
          <w:insideV w:val="none"/>
        </w:tblBorders>
      </w:tblPr>
      <w:tblGrid>
        <w:gridCol w:w="9360"/>
      </w:tblGrid>
      <w:tr>
        <w:tc>
          <w:tcPr>
            <w:tcW w:type="dxa" w:w="9360"/>
            <w:shd w:fill="FAEBEF" w:color="auto" w:val="clear"/>
            <w:tcMar>
              <w:top w:type="dxa" w:w="140"/>
              <w:left w:type="dxa" w:w="200"/>
              <w:bottom w:type="dxa" w:w="140"/>
              <w:right w:type="dxa" w:w="180"/>
            </w:tcMar>
          </w:tcPr>
          <w:p>
            <w:pPr>
              <w:spacing w:after="60"/>
            </w:pPr>
            <w:r>
              <w:rPr>
                <w:rFonts w:ascii="Calibri" w:cs="Calibri" w:eastAsia="Calibri" w:hAnsi="Calibri"/>
                <w:b/>
                <w:bCs/>
                <w:color w:val="A82346"/>
                <w:sz w:val="20"/>
                <w:szCs w:val="20"/>
              </w:rPr>
              <w:t xml:space="preserve">Por qué este grupo es el más importante del documento</w:t>
            </w:r>
          </w:p>
          <w:p>
            <w:pPr>
              <w:spacing w:after="0" w:line="270"/>
            </w:pPr>
            <w:r>
              <w:rPr>
                <w:rFonts w:ascii="Calibri" w:cs="Calibri" w:eastAsia="Calibri" w:hAnsi="Calibri"/>
                <w:color w:val="1A2B2E"/>
                <w:sz w:val="20"/>
                <w:szCs w:val="20"/>
              </w:rPr>
              <w:t xml:space="preserve">Una sola sobreventa le cuesta dinero a un establecimiento y credibilidad a la plataforma. Por eso los indicadores de la sección 5.1 no son metas que se aspire a alcanzar, sino condiciones que deben cumplirse antes de cada despliegue. Son, además, la traducción directa de los seis retos técnicos del proyecto a algo verificable con un número.</w:t>
            </w:r>
          </w:p>
        </w:tc>
      </w:tr>
    </w:tbl>
    <w:p>
      <w:r>
        <w:br w:type="page"/>
      </w:r>
    </w:p>
    <w:p>
      <w:pPr>
        <w:pStyle w:val="Heading1"/>
        <w:spacing w:after="180" w:before="360"/>
      </w:pPr>
      <w:r>
        <w:rPr>
          <w:rFonts w:ascii="Calibri" w:cs="Calibri" w:eastAsia="Calibri" w:hAnsi="Calibri"/>
          <w:b/>
          <w:bCs/>
          <w:color w:val="0E5A4A"/>
          <w:sz w:val="30"/>
          <w:szCs w:val="30"/>
        </w:rPr>
        <w:t xml:space="preserve">6. Grupo E — Gamificación</w:t>
      </w:r>
    </w:p>
    <w:p>
      <w:pPr>
        <w:spacing w:after="120" w:line="276"/>
      </w:pPr>
      <w:r>
        <w:rPr>
          <w:rFonts w:ascii="Calibri" w:cs="Calibri" w:eastAsia="Calibri" w:hAnsi="Calibri"/>
          <w:color w:val="5F7378"/>
          <w:sz w:val="19"/>
          <w:szCs w:val="19"/>
        </w:rPr>
        <w:t xml:space="preserve">Responde si el minijuego cumple su función económica —retener al usuario durante la ventana de decisión— o si simplemente lo distrae.</w:t>
      </w:r>
    </w:p>
    <w:p>
      <w:pPr>
        <w:spacing w:after="80"/>
      </w:pPr>
    </w:p>
    <w:tbl>
      <w:tblPr>
        <w:tblW w:type="dxa" w:w="7860"/>
        <w:tblBorders>
          <w:top w:val="single" w:color="C9D6D2" w:sz="4"/>
          <w:left w:val="single" w:color="C9D6D2" w:sz="4"/>
          <w:bottom w:val="single" w:color="C9D6D2" w:sz="4"/>
          <w:right w:val="single" w:color="C9D6D2" w:sz="4"/>
          <w:insideH w:val="single" w:color="DDE7E4" w:sz="4"/>
          <w:insideV w:val="single" w:color="DDE7E4" w:sz="4"/>
        </w:tblBorders>
      </w:tblPr>
      <w:tblGrid>
        <w:gridCol w:w="2400"/>
        <w:gridCol w:w="3100"/>
        <w:gridCol w:w="1600"/>
        <w:gridCol w:w="760"/>
      </w:tblGrid>
      <w:tr>
        <w:trPr>
          <w:tblHeader/>
        </w:trPr>
        <w:tc>
          <w:tcPr>
            <w:tcW w:type="dxa" w:w="24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Indicador</w:t>
            </w:r>
          </w:p>
        </w:tc>
        <w:tc>
          <w:tcPr>
            <w:tcW w:type="dxa" w:w="31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Fórmula</w:t>
            </w:r>
          </w:p>
        </w:tc>
        <w:tc>
          <w:tcPr>
            <w:tcW w:type="dxa" w:w="16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Meta MVP</w:t>
            </w:r>
          </w:p>
        </w:tc>
        <w:tc>
          <w:tcPr>
            <w:tcW w:type="dxa" w:w="7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Frecuencia</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Usuarios que juegan</w:t>
            </w:r>
          </w:p>
        </w:tc>
        <w:tc>
          <w:tcPr>
            <w:tcW w:type="dxa" w:w="31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Porcentaje de usuarios activos que juega al menos una partida al mes.</w:t>
            </w:r>
          </w:p>
        </w:tc>
        <w:tc>
          <w:tcPr>
            <w:tcW w:type="dxa" w:w="16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20 %</w:t>
            </w:r>
          </w:p>
        </w:tc>
        <w:tc>
          <w:tcPr>
            <w:tcW w:type="dxa" w:w="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Partidas por jugador</w:t>
            </w:r>
          </w:p>
        </w:tc>
        <w:tc>
          <w:tcPr>
            <w:tcW w:type="dxa" w:w="31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Partidas jugadas dividido entre usuarios que jugaron.</w:t>
            </w:r>
          </w:p>
        </w:tc>
        <w:tc>
          <w:tcPr>
            <w:tcW w:type="dxa" w:w="16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&gt; 3</w:t>
            </w:r>
          </w:p>
        </w:tc>
        <w:tc>
          <w:tcPr>
            <w:tcW w:type="dxa" w:w="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Efecto en tiempo de sesión</w:t>
            </w:r>
          </w:p>
        </w:tc>
        <w:tc>
          <w:tcPr>
            <w:tcW w:type="dxa" w:w="31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Duración media de sesión de quien juega frente a quien no juega.</w:t>
            </w:r>
          </w:p>
        </w:tc>
        <w:tc>
          <w:tcPr>
            <w:tcW w:type="dxa" w:w="16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+30 %</w:t>
            </w:r>
          </w:p>
        </w:tc>
        <w:tc>
          <w:tcPr>
            <w:tcW w:type="dxa" w:w="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r>
      <w:tr>
        <w:tc>
          <w:tcPr>
            <w:tcW w:type="dxa" w:w="24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Efecto en conversión</w:t>
            </w:r>
          </w:p>
        </w:tc>
        <w:tc>
          <w:tcPr>
            <w:tcW w:type="dxa" w:w="31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Tasa de reserva de jugadores frente a la de no jugadores.</w:t>
            </w:r>
          </w:p>
        </w:tc>
        <w:tc>
          <w:tcPr>
            <w:tcW w:type="dxa" w:w="1600"/>
            <w:tcMar>
              <w:top w:type="dxa" w:w="80"/>
              <w:left w:type="dxa" w:w="120"/>
              <w:bottom w:type="dxa" w:w="80"/>
              <w:right w:type="dxa" w:w="120"/>
            </w:tcMar>
            <w:vAlign w:val="top"/>
          </w:tcPr>
          <w:p>
            <w:pPr>
              <w:spacing w:after="0" w:line="260"/>
              <w:jc w:val="right"/>
            </w:pPr>
            <w:r>
              <w:rPr>
                <w:rFonts w:ascii="Consolas" w:cs="Consolas" w:eastAsia="Consolas" w:hAnsi="Consolas"/>
                <w:b/>
                <w:bCs/>
                <w:color w:val="1A2B2E"/>
                <w:sz w:val="19"/>
                <w:szCs w:val="19"/>
              </w:rPr>
              <w:t xml:space="preserve">Positivo</w:t>
            </w:r>
          </w:p>
        </w:tc>
        <w:tc>
          <w:tcPr>
            <w:tcW w:type="dxa" w:w="7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Mensual</w:t>
            </w:r>
          </w:p>
        </w:tc>
      </w:tr>
    </w:tbl>
    <w:p>
      <w:pPr>
        <w:spacing w:after="160"/>
      </w:pPr>
    </w:p>
    <w:tbl>
      <w:tblPr>
        <w:tblW w:type="dxa" w:w="9360"/>
        <w:tblBorders>
          <w:top w:val="single" w:color="FBF0E3" w:sz="4"/>
          <w:left w:val="single" w:color="9A5A0B" w:sz="18"/>
          <w:bottom w:val="single" w:color="FBF0E3" w:sz="4"/>
          <w:right w:val="single" w:color="FBF0E3" w:sz="4"/>
          <w:insideH w:val="none"/>
          <w:insideV w:val="none"/>
        </w:tblBorders>
      </w:tblPr>
      <w:tblGrid>
        <w:gridCol w:w="9360"/>
      </w:tblGrid>
      <w:tr>
        <w:tc>
          <w:tcPr>
            <w:tcW w:type="dxa" w:w="9360"/>
            <w:shd w:fill="FBF0E3" w:color="auto" w:val="clear"/>
            <w:tcMar>
              <w:top w:type="dxa" w:w="140"/>
              <w:left w:type="dxa" w:w="200"/>
              <w:bottom w:type="dxa" w:w="140"/>
              <w:right w:type="dxa" w:w="180"/>
            </w:tcMar>
          </w:tcPr>
          <w:p>
            <w:pPr>
              <w:spacing w:after="60"/>
            </w:pPr>
            <w:r>
              <w:rPr>
                <w:rFonts w:ascii="Calibri" w:cs="Calibri" w:eastAsia="Calibri" w:hAnsi="Calibri"/>
                <w:b/>
                <w:bCs/>
                <w:color w:val="9A5A0B"/>
                <w:sz w:val="20"/>
                <w:szCs w:val="20"/>
              </w:rPr>
              <w:t xml:space="preserve">Criterio de evaluación de la gamificación</w:t>
            </w:r>
          </w:p>
          <w:p>
            <w:pPr>
              <w:spacing w:after="0" w:line="270"/>
            </w:pPr>
            <w:r>
              <w:rPr>
                <w:rFonts w:ascii="Calibri" w:cs="Calibri" w:eastAsia="Calibri" w:hAnsi="Calibri"/>
                <w:color w:val="1A2B2E"/>
                <w:sz w:val="20"/>
                <w:szCs w:val="20"/>
              </w:rPr>
              <w:t xml:space="preserve">Los dos últimos indicadores son los que justifican económicamente el minijuego. Si el tiempo de sesión aumenta pero la conversión no mejora, la gamificación está distrayendo en lugar de retener, y debe replantearse o retirarse. Es un caso en el que un indicador que sube puede ser una mala noticia.</w:t>
            </w:r>
          </w:p>
        </w:tc>
      </w:tr>
    </w:tbl>
    <w:p>
      <w:pPr>
        <w:pStyle w:val="Heading1"/>
        <w:spacing w:after="180" w:before="360"/>
      </w:pPr>
      <w:r>
        <w:rPr>
          <w:rFonts w:ascii="Calibri" w:cs="Calibri" w:eastAsia="Calibri" w:hAnsi="Calibri"/>
          <w:b/>
          <w:bCs/>
          <w:color w:val="0E5A4A"/>
          <w:sz w:val="30"/>
          <w:szCs w:val="30"/>
        </w:rPr>
        <w:t xml:space="preserve">7. Seguimiento y puertas de decisión</w:t>
      </w:r>
    </w:p>
    <w:p>
      <w:pPr>
        <w:pStyle w:val="Heading2"/>
        <w:spacing w:after="130" w:before="260"/>
      </w:pPr>
      <w:r>
        <w:rPr>
          <w:rFonts w:ascii="Calibri" w:cs="Calibri" w:eastAsia="Calibri" w:hAnsi="Calibri"/>
          <w:b/>
          <w:bCs/>
          <w:color w:val="1A2B2E"/>
          <w:sz w:val="24"/>
          <w:szCs w:val="24"/>
        </w:rPr>
        <w:t xml:space="preserve">7.1 Ritmo de revisión</w:t>
      </w: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100"/>
        <w:gridCol w:w="2700"/>
        <w:gridCol w:w="4560"/>
      </w:tblGrid>
      <w:tr>
        <w:trPr>
          <w:tblHeader/>
        </w:trPr>
        <w:tc>
          <w:tcPr>
            <w:tcW w:type="dxa" w:w="21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Momento</w:t>
            </w:r>
          </w:p>
        </w:tc>
        <w:tc>
          <w:tcPr>
            <w:tcW w:type="dxa" w:w="27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Qué se revisa</w:t>
            </w:r>
          </w:p>
        </w:tc>
        <w:tc>
          <w:tcPr>
            <w:tcW w:type="dxa" w:w="45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Quién participa</w:t>
            </w:r>
          </w:p>
        </w:tc>
      </w:tr>
      <w:tr>
        <w:tc>
          <w:tcPr>
            <w:tcW w:type="dxa" w:w="21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Diario</w:t>
            </w:r>
          </w:p>
        </w:tc>
        <w:tc>
          <w:tcPr>
            <w:tcW w:type="dxa" w:w="27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Indicadores técnicos del grupo D y usuarios activos diarios.</w:t>
            </w:r>
          </w:p>
        </w:tc>
        <w:tc>
          <w:tcPr>
            <w:tcW w:type="dxa" w:w="45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Ingeniería</w:t>
            </w:r>
          </w:p>
        </w:tc>
      </w:tr>
      <w:tr>
        <w:tc>
          <w:tcPr>
            <w:tcW w:type="dxa" w:w="21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Semanal</w:t>
            </w:r>
          </w:p>
        </w:tc>
        <w:tc>
          <w:tcPr>
            <w:tcW w:type="dxa" w:w="27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Grupos A, B y C. Se revisa en la reunión de seguimiento del sprint.</w:t>
            </w:r>
          </w:p>
        </w:tc>
        <w:tc>
          <w:tcPr>
            <w:tcW w:type="dxa" w:w="45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Equipo completo</w:t>
            </w:r>
          </w:p>
        </w:tc>
      </w:tr>
      <w:tr>
        <w:tc>
          <w:tcPr>
            <w:tcW w:type="dxa" w:w="21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Cierre de sprint</w:t>
            </w:r>
          </w:p>
        </w:tc>
        <w:tc>
          <w:tcPr>
            <w:tcW w:type="dxa" w:w="27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Condiciones de corrección del grupo D. Ninguna historia se acepta sin ellas.</w:t>
            </w:r>
          </w:p>
        </w:tc>
        <w:tc>
          <w:tcPr>
            <w:tcW w:type="dxa" w:w="45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Equipo y Product Owner</w:t>
            </w:r>
          </w:p>
        </w:tc>
      </w:tr>
      <w:tr>
        <w:tc>
          <w:tcPr>
            <w:tcW w:type="dxa" w:w="21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Mensual</w:t>
            </w:r>
          </w:p>
        </w:tc>
        <w:tc>
          <w:tcPr>
            <w:tcW w:type="dxa" w:w="27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Todos los grupos, con análisis de tendencia y no solo del valor puntual.</w:t>
            </w:r>
          </w:p>
        </w:tc>
        <w:tc>
          <w:tcPr>
            <w:tcW w:type="dxa" w:w="45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Equipo y dirección</w:t>
            </w:r>
          </w:p>
        </w:tc>
      </w:tr>
      <w:tr>
        <w:tc>
          <w:tcPr>
            <w:tcW w:type="dxa" w:w="21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Mes 3 de operación</w:t>
            </w:r>
          </w:p>
        </w:tc>
        <w:tc>
          <w:tcPr>
            <w:tcW w:type="dxa" w:w="270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Evaluación completa contra las metas, para decidir la continuidad.</w:t>
            </w:r>
          </w:p>
        </w:tc>
        <w:tc>
          <w:tcPr>
            <w:tcW w:type="dxa" w:w="45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Comité de proyecto</w:t>
            </w:r>
          </w:p>
        </w:tc>
      </w:tr>
    </w:tbl>
    <w:p>
      <w:pPr>
        <w:spacing w:after="200"/>
      </w:pPr>
    </w:p>
    <w:p>
      <w:pPr>
        <w:pStyle w:val="Heading2"/>
        <w:spacing w:after="130" w:before="260"/>
      </w:pPr>
      <w:r>
        <w:rPr>
          <w:rFonts w:ascii="Calibri" w:cs="Calibri" w:eastAsia="Calibri" w:hAnsi="Calibri"/>
          <w:b/>
          <w:bCs/>
          <w:color w:val="1A2B2E"/>
          <w:sz w:val="24"/>
          <w:szCs w:val="24"/>
        </w:rPr>
        <w:t xml:space="preserve">7.2 Puertas de decisión</w:t>
      </w:r>
    </w:p>
    <w:tbl>
      <w:tblPr>
        <w:tblW w:type="dxa" w:w="9360"/>
        <w:tblBorders>
          <w:top w:val="single" w:color="C9D6D2" w:sz="4"/>
          <w:left w:val="single" w:color="C9D6D2" w:sz="4"/>
          <w:bottom w:val="single" w:color="C9D6D2" w:sz="4"/>
          <w:right w:val="single" w:color="C9D6D2" w:sz="4"/>
          <w:insideH w:val="single" w:color="DDE7E4" w:sz="4"/>
          <w:insideV w:val="single" w:color="DDE7E4" w:sz="4"/>
        </w:tblBorders>
      </w:tblPr>
      <w:tblGrid>
        <w:gridCol w:w="2100"/>
        <w:gridCol w:w="7260"/>
      </w:tblGrid>
      <w:tr>
        <w:trPr>
          <w:tblHeader/>
        </w:trPr>
        <w:tc>
          <w:tcPr>
            <w:tcW w:type="dxa" w:w="210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Momento</w:t>
            </w:r>
          </w:p>
        </w:tc>
        <w:tc>
          <w:tcPr>
            <w:tcW w:type="dxa" w:w="7260"/>
            <w:shd w:fill="E6EFEC" w:color="auto" w:val="clear"/>
            <w:tcMar>
              <w:top w:type="dxa" w:w="80"/>
              <w:left w:type="dxa" w:w="120"/>
              <w:bottom w:type="dxa" w:w="80"/>
              <w:right w:type="dxa" w:w="120"/>
            </w:tcMar>
            <w:vAlign w:val="top"/>
          </w:tcPr>
          <w:p>
            <w:pPr>
              <w:spacing w:after="0" w:line="260"/>
            </w:pPr>
            <w:r>
              <w:rPr>
                <w:rFonts w:ascii="Calibri" w:cs="Calibri" w:eastAsia="Calibri" w:hAnsi="Calibri"/>
                <w:b/>
                <w:bCs/>
                <w:color w:val="0E5A4A"/>
                <w:sz w:val="18"/>
                <w:szCs w:val="18"/>
              </w:rPr>
              <w:t xml:space="preserve">Criterio para continuar</w:t>
            </w:r>
          </w:p>
        </w:tc>
      </w:tr>
      <w:tr>
        <w:tc>
          <w:tcPr>
            <w:tcW w:type="dxa" w:w="21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Semana 4</w:t>
            </w:r>
          </w:p>
        </w:tc>
        <w:tc>
          <w:tcPr>
            <w:tcW w:type="dxa" w:w="7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Los retos de tiempo real funcionan de extremo a extremo: dos dispositivos conectados ven el mismo estado sin recargar, y uno que se desconecta y vuelve recupera exactamente lo que se perdió, sin duplicados.</w:t>
            </w:r>
          </w:p>
        </w:tc>
      </w:tr>
      <w:tr>
        <w:tc>
          <w:tcPr>
            <w:tcW w:type="dxa" w:w="21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Semana 8</w:t>
            </w:r>
          </w:p>
        </w:tc>
        <w:tc>
          <w:tcPr>
            <w:tcW w:type="dxa" w:w="7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Las pruebas de carga no producen ninguna sobreventa ni pérdida de eventos. Todas las condiciones de corrección de la sección 5.1 se cumplen. Sin esto no se lanza.</w:t>
            </w:r>
          </w:p>
        </w:tc>
      </w:tr>
      <w:tr>
        <w:tc>
          <w:tcPr>
            <w:tcW w:type="dxa" w:w="2100"/>
            <w:tcMar>
              <w:top w:type="dxa" w:w="80"/>
              <w:left w:type="dxa" w:w="120"/>
              <w:bottom w:type="dxa" w:w="80"/>
              <w:right w:type="dxa" w:w="120"/>
            </w:tcMar>
            <w:vAlign w:val="top"/>
          </w:tcPr>
          <w:p>
            <w:pPr>
              <w:spacing w:after="0" w:line="260"/>
            </w:pPr>
            <w:r>
              <w:rPr>
                <w:rFonts w:ascii="Calibri" w:cs="Calibri" w:eastAsia="Calibri" w:hAnsi="Calibri"/>
                <w:b/>
                <w:bCs/>
                <w:color w:val="1A2B2E"/>
                <w:sz w:val="19"/>
                <w:szCs w:val="19"/>
              </w:rPr>
              <w:t xml:space="preserve">Mes 3</w:t>
            </w:r>
          </w:p>
        </w:tc>
        <w:tc>
          <w:tcPr>
            <w:tcW w:type="dxa" w:w="7260"/>
            <w:tcMar>
              <w:top w:type="dxa" w:w="80"/>
              <w:left w:type="dxa" w:w="120"/>
              <w:bottom w:type="dxa" w:w="80"/>
              <w:right w:type="dxa" w:w="120"/>
            </w:tcMar>
            <w:vAlign w:val="top"/>
          </w:tcPr>
          <w:p>
            <w:pPr>
              <w:spacing w:after="0" w:line="260"/>
            </w:pPr>
            <w:r>
              <w:rPr>
                <w:rFonts w:ascii="Calibri" w:cs="Calibri" w:eastAsia="Calibri" w:hAnsi="Calibri"/>
                <w:color w:val="1A2B2E"/>
                <w:sz w:val="19"/>
                <w:szCs w:val="19"/>
              </w:rPr>
              <w:t xml:space="preserve">Se alcanzan las metas de retención a treinta días y de retención de establecimientos. Si no se alcanzan, se revisa el modelo antes de invertir en más zonas, en lugar de insistir por inercia.</w:t>
            </w:r>
          </w:p>
        </w:tc>
      </w:tr>
    </w:tbl>
    <w:p>
      <w:pPr>
        <w:spacing w:after="240"/>
      </w:pPr>
    </w:p>
    <w:tbl>
      <w:tblPr>
        <w:tblW w:type="dxa" w:w="9360"/>
        <w:tblBorders>
          <w:top w:val="single" w:color="E6EFEC" w:sz="4"/>
          <w:left w:val="single" w:color="0E5A4A" w:sz="18"/>
          <w:bottom w:val="single" w:color="E6EFEC" w:sz="4"/>
          <w:right w:val="single" w:color="E6EFEC" w:sz="4"/>
          <w:insideH w:val="none"/>
          <w:insideV w:val="none"/>
        </w:tblBorders>
      </w:tblPr>
      <w:tblGrid>
        <w:gridCol w:w="9360"/>
      </w:tblGrid>
      <w:tr>
        <w:tc>
          <w:tcPr>
            <w:tcW w:type="dxa" w:w="9360"/>
            <w:shd w:fill="E6EFEC" w:color="auto" w:val="clear"/>
            <w:tcMar>
              <w:top w:type="dxa" w:w="140"/>
              <w:left w:type="dxa" w:w="200"/>
              <w:bottom w:type="dxa" w:w="140"/>
              <w:right w:type="dxa" w:w="180"/>
            </w:tcMar>
          </w:tcPr>
          <w:p>
            <w:pPr>
              <w:spacing w:after="60"/>
            </w:pPr>
            <w:r>
              <w:rPr>
                <w:rFonts w:ascii="Calibri" w:cs="Calibri" w:eastAsia="Calibri" w:hAnsi="Calibri"/>
                <w:b/>
                <w:bCs/>
                <w:color w:val="0E5A4A"/>
                <w:sz w:val="20"/>
                <w:szCs w:val="20"/>
              </w:rPr>
              <w:t xml:space="preserve">Advertencia sobre el uso de los indicadores</w:t>
            </w:r>
          </w:p>
          <w:p>
            <w:pPr>
              <w:spacing w:after="0" w:line="270"/>
            </w:pPr>
            <w:r>
              <w:rPr>
                <w:rFonts w:ascii="Calibri" w:cs="Calibri" w:eastAsia="Calibri" w:hAnsi="Calibri"/>
                <w:color w:val="1A2B2E"/>
                <w:sz w:val="20"/>
                <w:szCs w:val="20"/>
              </w:rPr>
              <w:t xml:space="preserve">Ningún indicador aislado debe tomarse como veredicto. Un mes con pocos usuarios activos pero alta retención es mejor señal que uno con muchos usuarios y retención en caída. La lectura correcta es siempre la tendencia cruzada entre grupos, y la conversación que esa tendencia abre dentro del equipo.</w:t>
            </w:r>
          </w:p>
        </w:tc>
      </w:tr>
    </w:tbl>
    <w:p>
      <w:pPr>
        <w:spacing w:after="240"/>
      </w:pPr>
    </w:p>
    <w:p>
      <w:pPr>
        <w:pBdr>
          <w:bottom w:val="single" w:color="C9D6D2" w:sz="6"/>
        </w:pBdr>
        <w:spacing w:after="180" w:before="60"/>
      </w:pPr>
    </w:p>
    <w:p>
      <w:pPr>
        <w:spacing w:after="120" w:line="276"/>
      </w:pPr>
      <w:r>
        <w:rPr>
          <w:rFonts w:ascii="Calibri" w:cs="Calibri" w:eastAsia="Calibri" w:hAnsi="Calibri"/>
          <w:color w:val="5F7378"/>
          <w:sz w:val="18"/>
          <w:szCs w:val="18"/>
        </w:rPr>
        <w:t xml:space="preserve">Planazo · Indicadores del Proyecto · versión 1.0 · 24 de agosto de 2026.</w:t>
      </w:r>
    </w:p>
    <w:p>
      <w:pPr>
        <w:spacing w:after="120" w:line="276"/>
      </w:pPr>
      <w:r>
        <w:rPr>
          <w:rFonts w:ascii="Calibri" w:cs="Calibri" w:eastAsia="Calibri" w:hAnsi="Calibri"/>
          <w:color w:val="5F7378"/>
          <w:sz w:val="18"/>
          <w:szCs w:val="18"/>
        </w:rPr>
        <w:t xml:space="preserve">Las metas son objetivos propuestos para el MVP y los primeros tres meses de operación. Deben revisarse al cierre de cada trimestre con los datos reales observados.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2" w:sz="4"/>
      </w:pBdr>
      <w:spacing w:before="120"/>
      <w:jc w:val="right"/>
    </w:pPr>
    <w:r>
      <w:rPr>
        <w:rFonts w:ascii="Calibri" w:cs="Calibri" w:eastAsia="Calibri" w:hAnsi="Calibri"/>
        <w:color w:val="5F7378"/>
        <w:sz w:val="16"/>
        <w:szCs w:val="16"/>
      </w:rPr>
      <w:t xml:space="preserve">Planazo · Indicadores del Proyecto     </w:t>
    </w:r>
    <w:r>
      <w:rPr>
        <w:rFonts w:ascii="Calibri" w:cs="Calibri" w:eastAsia="Calibri" w:hAnsi="Calibri"/>
        <w:b/>
        <w:bCs/>
        <w:color w:val="5F73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Indicadores del Proyecto</dc:title>
  <dc:creator>Equipo Planazo</dc:creator>
  <cp:lastModifiedBy>Un-named</cp:lastModifiedBy>
  <cp:revision>1</cp:revision>
  <dcterms:created xsi:type="dcterms:W3CDTF">2026-08-27T02:48:59.500Z</dcterms:created>
  <dcterms:modified xsi:type="dcterms:W3CDTF">2026-08-27T02:48:59.500Z</dcterms:modified>
</cp:coreProperties>
</file>

<file path=docProps/custom.xml><?xml version="1.0" encoding="utf-8"?>
<Properties xmlns="http://schemas.openxmlformats.org/officeDocument/2006/custom-properties" xmlns:vt="http://schemas.openxmlformats.org/officeDocument/2006/docPropsVTypes"/>
</file>