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Tempranillo; evapotranspiració; teledetecció; dron; radiació PAR; maneig de capçada;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Tempranillo; evapotranspiración; teledetección; dron; radiación PAR; manejo de copa;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Tempranillo; evapotranspiration; remote sensing; UAV; PAR radiation; canopy management; water stress; precision irrigation</w:t>
      </w:r>
    </w:p>
    <w:p>
      <w:r>
        <w:br w:type="page"/>
      </w:r>
    </w:p>
    <w:p>
      <w:pPr>
        <w:pStyle w:val="Heading1"/>
        <w:spacing w:before="320" w:after="160"/>
      </w:pPr>
      <w:r>
        <w:rPr>
          <w:rFonts w:ascii="Arial" w:hAnsi="Arial" w:cs="Arial"/>
          <w:b/>
          <w:i w:val="0"/>
          <w:sz w:val="28"/>
        </w:rPr>
        <w:t>Agraïments</w:t>
      </w:r>
    </w:p>
    <w:p>
      <w:pPr>
        <w:spacing w:after="120" w:before="0"/>
      </w:pPr>
      <w:r>
        <w:rPr>
          <w:rFonts w:ascii="Arial" w:hAnsi="Arial" w:cs="Arial"/>
          <w:b w:val="0"/>
          <w:i w:val="0"/>
          <w:sz w:val="24"/>
        </w:rPr>
        <w:t>La realització d'aquest Treball Final de Màster no hauria estat possible sense l'ajuda, la dedicació i el suport de moltes persones i institucions, a les quals voldria expressar el meu més sincer agraïment.</w:t>
      </w:r>
    </w:p>
    <w:p>
      <w:pPr>
        <w:spacing w:after="120" w:before="0"/>
      </w:pPr>
      <w:r>
        <w:rPr>
          <w:rFonts w:ascii="Arial" w:hAnsi="Arial" w:cs="Arial"/>
          <w:b w:val="0"/>
          <w:i w:val="0"/>
          <w:sz w:val="24"/>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pPr>
        <w:spacing w:after="120" w:before="0"/>
      </w:pPr>
      <w:r>
        <w:rPr>
          <w:rFonts w:ascii="Arial" w:hAnsi="Arial" w:cs="Arial"/>
          <w:b w:val="0"/>
          <w:i w:val="0"/>
          <w:sz w:val="24"/>
        </w:rPr>
        <w:t>Vull agrair molt especialment a tot l'equip del Programa d'Ús Eficient de l'Aigua en Agricultura de l'IRTA l'acollida i el suport rebuts durant la part experimental. De manera particular, agraeixo a en Víctor Blanco, la Nerea Gutiérrez, la Mercè Mata, en Carles Paris, l'Aurica Biru i en Joan Girona la seva disponibilitat, els seus consells i la seva ajuda en el treball de camp i en la comprensió de l'assaig de maneig de capçada en què s'emmarca aquest TFM.</w:t>
      </w:r>
    </w:p>
    <w:p>
      <w:pPr>
        <w:spacing w:after="120" w:before="0"/>
      </w:pPr>
      <w:r>
        <w:rPr>
          <w:rFonts w:ascii="Arial" w:hAnsi="Arial" w:cs="Arial"/>
          <w:b w:val="0"/>
          <w:i w:val="0"/>
          <w:sz w:val="24"/>
        </w:rPr>
        <w:t>Faig extensiu aquest agraïment al personal de la finca experimental i a totes les persones que, d'una manera o altra, han participat en les tasques d'assaig, mesura i processament de dades, així com a la Universitat de Lleida i a l'Escola Tècnica Superior d'Enginyeria Agroalimentària i Forestal i de Veterinària per la formació rebuda durant aquests anys.</w:t>
      </w:r>
    </w:p>
    <w:p>
      <w:pPr>
        <w:spacing w:after="120" w:before="0"/>
      </w:pPr>
      <w:r>
        <w:rPr>
          <w:rFonts w:ascii="Arial" w:hAnsi="Arial" w:cs="Arial"/>
          <w:b w:val="0"/>
          <w:i w:val="0"/>
          <w:sz w:val="24"/>
        </w:rPr>
        <w:t>Finalment, però no per això menys important, vull donar les gràcies a la meva família i als meus amics pel seu suport incondicional, la seva paciència i els seus ànims al llarg de tot aquest camí.</w:t>
      </w:r>
    </w:p>
    <w:p>
      <w:pPr>
        <w:spacing w:after="120" w:before="0"/>
      </w:pPr>
      <w:r>
        <w:rPr>
          <w:rFonts w:ascii="Arial" w:hAnsi="Arial" w:cs="Arial"/>
          <w:b w:val="0"/>
          <w:i/>
          <w:sz w:val="24"/>
        </w:rPr>
        <w:t>A tots vosaltres, moltes gràcies.</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de la varietat 'Ull de Llebre' (Tempranillo) a Raimat, amb un disseny en blocs de cinc tractaments de maneig de capçada i quatre repeticions,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de la variedad 'Tempranillo' en Raimat, con un diseño en bloques de cinco tratamientos de manejo de copa y cuatro repeticiones,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'Tempranillo' plot in Raimat, with a block design of five canopy-management treatments and four replicates,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spacing w:after="120" w:before="0"/>
      </w:pPr>
      <w:r>
        <w:rPr>
          <w:rFonts w:ascii="Arial" w:hAnsi="Arial" w:cs="Arial"/>
          <w:b w:val="0"/>
          <w:i w:val="0"/>
          <w:sz w:val="24"/>
        </w:rPr>
        <w:t>Concretament, el treball s'emmarca en l'assaig de maneig de capçada que el Programa d'Ús Eficient de l'Aigua de l'IRTA desenvolupa en una parcel·la de la varietat 'Ull de Llebre' (Tempranillo) a Raimat, dins dels projectes VITIMPACT i ADAPTEX, amb l'objectiu d'augmentar la resiliència de la vinya davant del canvi climàtic. En aquest assaig, cinc nivells d'esporga generen capçades de mides contrastades i, en campanyes anteriors, s'han observat diferències notables en el consum d'aigua de reg entre tractaments —les capçades més grans han arribat a consumir fins a un 14 % més d'aigua que el maneig comercial, mentre que l'esporga severa l'ha reduït prop d'un 20 %. El present TFM aborda precisament una de les línies de treball futures previstes en aquest assaig: la quantificació de la transpiració i de l'evapotranspiració mitjançant teledetecció, com a complement a les mesures directes de transpiració amb sensors de flux de saba (sap flow sensors) i al seguiment del potencial hídric de tija.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071465"/>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071465"/>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cinc tractaments de maneig de capçada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pPr>
        <w:spacing w:after="120"/>
        <w:jc w:val="both"/>
      </w:pPr>
      <w:r>
        <w:rPr>
          <w:rFonts w:ascii="Arial" w:hAnsi="Arial" w:cs="Arial"/>
          <w:b/>
          <w:i w:val="0"/>
          <w:sz w:val="24"/>
        </w:rPr>
        <w:t>H3.</w:t>
      </w:r>
      <w:r>
        <w:rPr>
          <w:rFonts w:ascii="Arial" w:hAnsi="Arial" w:cs="Arial"/>
          <w:b w:val="0"/>
          <w:i w:val="0"/>
          <w:sz w:val="24"/>
        </w:rPr>
        <w:t xml:space="preserve"> En mantenir-se un mateix estat hídric entre tractaments mitjançant reg individualitzat, les diferències d'ETa i de CWSI s'expliquen principalment per l'arquitectura del dosser i no per diferències de Ψstem imposades.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pPr>
        <w:spacing w:after="120" w:before="0"/>
      </w:pPr>
      <w:r>
        <w:rPr>
          <w:rFonts w:ascii="Arial" w:hAnsi="Arial" w:cs="Arial"/>
          <w:b w:val="0"/>
          <w:i w:val="0"/>
          <w:sz w:val="24"/>
        </w:rPr>
        <w:t>La vinya, plantada l'any 2013, es condueix en doble cordó amb un marc de plantació d'1,6 m entre ceps i 2,5 m entre fileres. El reg s'aplica per degoteig seguint una estratègia de reg deficitari controlat (RDC), amb imposició del dèficit en el període post-verolat fins a la verema. Un aspecte clau del disseny és que cada tractament de maneig de capçada es rega de manera individualitzada per mantenir tots els tractaments en un mateix estat hídric, independentment de la mida de la capçada; d'aquesta manera, les diferències observades es poden atribuir a l'arquitectura del dosser i no a diferències d'estat hídric imposades. El potencial hídric de tija al migdia s'utilitza com a indicador de referència per controlar aquest estat hídric (Choné et al., 2001).</w:t>
      </w:r>
    </w:p>
    <w:p>
      <w:pPr>
        <w:spacing w:after="120" w:before="0"/>
        <w:jc w:val="left"/>
      </w:pPr>
      <w:r>
        <w:rPr>
          <w:rFonts w:ascii="Arial" w:hAnsi="Arial" w:cs="Arial"/>
          <w:b w:val="0"/>
          <w:i/>
          <w:color w:val="B00000"/>
          <w:sz w:val="22"/>
        </w:rPr>
        <w:t>[VERIFICAR/COMPLETAR] Coordenades exactes de la parcel·la, tipus de sòl i dades climàtiques de la campanya (p. ex., precipitació acumulada; el 2024-25 va ser de ~330 mm), i dotacions de reg reals d'aquesta temporada.</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segueix un disseny en blocs amb cinc tractaments de maneig de capçada (esporga) i quatre repeticions (blocs) per tractament, fet que dona lloc a 20 parcel·les experimentals. Cada parcel·la elemental està formada per 24 ceps distribuïts en tres fileres de vuit ceps, dels quals es prenen com a ceps de mostreig els centrals per minimitzar els efectes de vora. Els cinc tractaments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maneig de capçada (esporga) de l'assaig ADAPTEX. El tractament EM (esporga mitjana) correspon a la pràctica comercial de referència. </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Arial" w:hAnsi="Arial" w:cs="Arial"/>
                <w:b/>
                <w:i w:val="0"/>
                <w:sz w:val="21"/>
              </w:rPr>
              <w:t>Codi</w:t>
            </w:r>
          </w:p>
        </w:tc>
        <w:tc>
          <w:tcPr>
            <w:tcW w:type="dxa" w:w="2608"/>
          </w:tcPr>
          <w:p>
            <w:pPr>
              <w:jc w:val="center"/>
            </w:pPr>
            <w:r>
              <w:rPr>
                <w:rFonts w:ascii="Arial" w:hAnsi="Arial" w:cs="Arial"/>
                <w:b/>
                <w:i w:val="0"/>
                <w:sz w:val="21"/>
              </w:rPr>
              <w:t>Tractament</w:t>
            </w:r>
          </w:p>
        </w:tc>
        <w:tc>
          <w:tcPr>
            <w:tcW w:type="dxa" w:w="3855"/>
          </w:tcPr>
          <w:p>
            <w:pPr>
              <w:jc w:val="center"/>
            </w:pPr>
            <w:r>
              <w:rPr>
                <w:rFonts w:ascii="Arial" w:hAnsi="Arial" w:cs="Arial"/>
                <w:b/>
                <w:i w:val="0"/>
                <w:sz w:val="21"/>
              </w:rPr>
              <w:t>Descripció</w:t>
            </w:r>
          </w:p>
        </w:tc>
      </w:tr>
      <w:tr>
        <w:tc>
          <w:tcPr>
            <w:tcW w:type="dxa" w:w="907"/>
          </w:tcPr>
          <w:p>
            <w:pPr>
              <w:jc w:val="left"/>
            </w:pPr>
            <w:r>
              <w:rPr>
                <w:rFonts w:ascii="Arial" w:hAnsi="Arial" w:cs="Arial"/>
                <w:b w:val="0"/>
                <w:i w:val="0"/>
                <w:sz w:val="21"/>
              </w:rPr>
              <w:t>SE</w:t>
            </w:r>
          </w:p>
        </w:tc>
        <w:tc>
          <w:tcPr>
            <w:tcW w:type="dxa" w:w="2608"/>
          </w:tcPr>
          <w:p>
            <w:pPr>
              <w:jc w:val="left"/>
            </w:pPr>
            <w:r>
              <w:rPr>
                <w:rFonts w:ascii="Arial" w:hAnsi="Arial" w:cs="Arial"/>
                <w:b w:val="0"/>
                <w:i w:val="0"/>
                <w:sz w:val="21"/>
              </w:rPr>
              <w:t>Sense esporga</w:t>
            </w:r>
          </w:p>
        </w:tc>
        <w:tc>
          <w:tcPr>
            <w:tcW w:type="dxa" w:w="3855"/>
          </w:tcPr>
          <w:p>
            <w:pPr>
              <w:jc w:val="left"/>
            </w:pPr>
            <w:r>
              <w:rPr>
                <w:rFonts w:ascii="Arial" w:hAnsi="Arial" w:cs="Arial"/>
                <w:b w:val="0"/>
                <w:i w:val="0"/>
                <w:sz w:val="21"/>
              </w:rPr>
              <w:t>No s'elimina vegetació; capçada de mida màxima</w:t>
            </w:r>
          </w:p>
        </w:tc>
      </w:tr>
      <w:tr>
        <w:tc>
          <w:tcPr>
            <w:tcW w:type="dxa" w:w="907"/>
          </w:tcPr>
          <w:p>
            <w:pPr>
              <w:jc w:val="left"/>
            </w:pPr>
            <w:r>
              <w:rPr>
                <w:rFonts w:ascii="Arial" w:hAnsi="Arial" w:cs="Arial"/>
                <w:b w:val="0"/>
                <w:i w:val="0"/>
                <w:sz w:val="21"/>
              </w:rPr>
              <w:t>EL</w:t>
            </w:r>
          </w:p>
        </w:tc>
        <w:tc>
          <w:tcPr>
            <w:tcW w:type="dxa" w:w="2608"/>
          </w:tcPr>
          <w:p>
            <w:pPr>
              <w:jc w:val="left"/>
            </w:pPr>
            <w:r>
              <w:rPr>
                <w:rFonts w:ascii="Arial" w:hAnsi="Arial" w:cs="Arial"/>
                <w:b w:val="0"/>
                <w:i w:val="0"/>
                <w:sz w:val="21"/>
              </w:rPr>
              <w:t>Esporga lleugera</w:t>
            </w:r>
          </w:p>
        </w:tc>
        <w:tc>
          <w:tcPr>
            <w:tcW w:type="dxa" w:w="3855"/>
          </w:tcPr>
          <w:p>
            <w:pPr>
              <w:jc w:val="left"/>
            </w:pPr>
            <w:r>
              <w:rPr>
                <w:rFonts w:ascii="Arial" w:hAnsi="Arial" w:cs="Arial"/>
                <w:b w:val="0"/>
                <w:i w:val="0"/>
                <w:sz w:val="21"/>
              </w:rPr>
              <w:t>Reducció lleugera de la capçada</w:t>
            </w:r>
          </w:p>
        </w:tc>
      </w:tr>
      <w:tr>
        <w:tc>
          <w:tcPr>
            <w:tcW w:type="dxa" w:w="907"/>
          </w:tcPr>
          <w:p>
            <w:pPr>
              <w:jc w:val="left"/>
            </w:pPr>
            <w:r>
              <w:rPr>
                <w:rFonts w:ascii="Arial" w:hAnsi="Arial" w:cs="Arial"/>
                <w:b w:val="0"/>
                <w:i w:val="0"/>
                <w:sz w:val="21"/>
              </w:rPr>
              <w:t>EM</w:t>
            </w:r>
          </w:p>
        </w:tc>
        <w:tc>
          <w:tcPr>
            <w:tcW w:type="dxa" w:w="2608"/>
          </w:tcPr>
          <w:p>
            <w:pPr>
              <w:jc w:val="left"/>
            </w:pPr>
            <w:r>
              <w:rPr>
                <w:rFonts w:ascii="Arial" w:hAnsi="Arial" w:cs="Arial"/>
                <w:b w:val="0"/>
                <w:i w:val="0"/>
                <w:sz w:val="21"/>
              </w:rPr>
              <w:t>Esporga mitjana (comercial)</w:t>
            </w:r>
          </w:p>
        </w:tc>
        <w:tc>
          <w:tcPr>
            <w:tcW w:type="dxa" w:w="3855"/>
          </w:tcPr>
          <w:p>
            <w:pPr>
              <w:jc w:val="left"/>
            </w:pPr>
            <w:r>
              <w:rPr>
                <w:rFonts w:ascii="Arial" w:hAnsi="Arial" w:cs="Arial"/>
                <w:b w:val="0"/>
                <w:i w:val="0"/>
                <w:sz w:val="21"/>
              </w:rPr>
              <w:t>Maneig comercial de referència; capçada intermèdia</w:t>
            </w:r>
          </w:p>
        </w:tc>
      </w:tr>
      <w:tr>
        <w:tc>
          <w:tcPr>
            <w:tcW w:type="dxa" w:w="907"/>
          </w:tcPr>
          <w:p>
            <w:pPr>
              <w:jc w:val="left"/>
            </w:pPr>
            <w:r>
              <w:rPr>
                <w:rFonts w:ascii="Arial" w:hAnsi="Arial" w:cs="Arial"/>
                <w:b w:val="0"/>
                <w:i w:val="0"/>
                <w:sz w:val="21"/>
              </w:rPr>
              <w:t>ES</w:t>
            </w:r>
          </w:p>
        </w:tc>
        <w:tc>
          <w:tcPr>
            <w:tcW w:type="dxa" w:w="2608"/>
          </w:tcPr>
          <w:p>
            <w:pPr>
              <w:jc w:val="left"/>
            </w:pPr>
            <w:r>
              <w:rPr>
                <w:rFonts w:ascii="Arial" w:hAnsi="Arial" w:cs="Arial"/>
                <w:b w:val="0"/>
                <w:i w:val="0"/>
                <w:sz w:val="21"/>
              </w:rPr>
              <w:t>Esporga severa</w:t>
            </w:r>
          </w:p>
        </w:tc>
        <w:tc>
          <w:tcPr>
            <w:tcW w:type="dxa" w:w="3855"/>
          </w:tcPr>
          <w:p>
            <w:pPr>
              <w:jc w:val="left"/>
            </w:pPr>
            <w:r>
              <w:rPr>
                <w:rFonts w:ascii="Arial" w:hAnsi="Arial" w:cs="Arial"/>
                <w:b w:val="0"/>
                <w:i w:val="0"/>
                <w:sz w:val="21"/>
              </w:rPr>
              <w:t>Reducció intensa de la capçada; mida mínima</w:t>
            </w:r>
          </w:p>
        </w:tc>
      </w:tr>
      <w:tr>
        <w:tc>
          <w:tcPr>
            <w:tcW w:type="dxa" w:w="907"/>
          </w:tcPr>
          <w:p>
            <w:pPr>
              <w:jc w:val="left"/>
            </w:pPr>
            <w:r>
              <w:rPr>
                <w:rFonts w:ascii="Arial" w:hAnsi="Arial" w:cs="Arial"/>
                <w:b w:val="0"/>
                <w:i w:val="0"/>
                <w:sz w:val="21"/>
              </w:rPr>
              <w:t>ES+DV</w:t>
            </w:r>
          </w:p>
        </w:tc>
        <w:tc>
          <w:tcPr>
            <w:tcW w:type="dxa" w:w="2608"/>
          </w:tcPr>
          <w:p>
            <w:pPr>
              <w:jc w:val="left"/>
            </w:pPr>
            <w:r>
              <w:rPr>
                <w:rFonts w:ascii="Arial" w:hAnsi="Arial" w:cs="Arial"/>
                <w:b w:val="0"/>
                <w:i w:val="0"/>
                <w:sz w:val="21"/>
              </w:rPr>
              <w:t>Esporga severa + desfullat a verolat</w:t>
            </w:r>
          </w:p>
        </w:tc>
        <w:tc>
          <w:tcPr>
            <w:tcW w:type="dxa" w:w="3855"/>
          </w:tcPr>
          <w:p>
            <w:pPr>
              <w:jc w:val="left"/>
            </w:pPr>
            <w:r>
              <w:rPr>
                <w:rFonts w:ascii="Arial" w:hAnsi="Arial" w:cs="Arial"/>
                <w:b w:val="0"/>
                <w:i w:val="0"/>
                <w:sz w:val="21"/>
              </w:rPr>
              <w:t>Esporga severa amb desfullat addicional en verolat</w:t>
            </w:r>
          </w:p>
        </w:tc>
      </w:tr>
    </w:tbl>
    <w:p>
      <w:pPr>
        <w:spacing w:after="80"/>
      </w:pPr>
    </w:p>
    <w:p>
      <w:pPr>
        <w:spacing w:before="160" w:after="40"/>
        <w:jc w:val="center"/>
      </w:pPr>
      <w:r>
        <w:drawing>
          <wp:inline xmlns:a="http://schemas.openxmlformats.org/drawingml/2006/main" xmlns:pic="http://schemas.openxmlformats.org/drawingml/2006/picture">
            <wp:extent cx="4860000" cy="2797590"/>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860000" cy="279759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de l'assaig ADAPTEX: cinc tractaments de maneig de capçada (SE, EL, EM, ES, ES+DV) × quatre blocs = 20 parcel·les experimentals de 24 ceps cadascuna. </w:t>
      </w:r>
      <w:r>
        <w:rPr>
          <w:rFonts w:ascii="Arial" w:hAnsi="Arial" w:cs="Arial"/>
          <w:b w:val="0"/>
          <w:i/>
          <w:sz w:val="20"/>
        </w:rPr>
        <w:t>Font: elaboració pròpia a partir del croquis de l'assaig ADAPTEX (IRTA).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maneig de capçada sobre les variables biofísiques del dosser (LAI, fIPAR, alçada, volum), sobre l'ETa, l'ETp i el CWSI, i sobre el Ψstem s'analitzarà comparant els cinc tractaments en cada data de mesura. Quan es compleixin els supòsits de normalitat dels residus i d'homogeneïtat de variàncies, s'aplicarà una anàlisi de la variància (ANOVA) amb separació de mitjanes mitjançant el test HSD de Tukey (p &lt; 0,05), tal com s'ha fet en estudis equivalents en fruiters (Bellvert et al., 2021). En cas que aquests supòsits no es compleixin, s'utilitzarà l'alternativa no paramètrica de Kruskal–Wallis, criteri adoptat de manera consistent amb l'anàlisi de l'assaig ADAPTEX a l'IRTA. La concordança entre els mètodes de mesura de la fIPAR (dron, ceptòmetre i imatge hemisfèrica) i entre el CWSI i el Ψstem s'avaluarà amb regressió lineal i estadístics de bondat d'ajust (coeficient de determinació R², error quadràtic mitjà RMSE i biaix).</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capçada</w:t>
      </w:r>
    </w:p>
    <w:p>
      <w:pPr>
        <w:spacing w:after="120" w:before="0"/>
        <w:jc w:val="left"/>
      </w:pPr>
      <w:r>
        <w:rPr>
          <w:rFonts w:ascii="Arial" w:hAnsi="Arial" w:cs="Arial"/>
          <w:b w:val="0"/>
          <w:i/>
          <w:color w:val="B00000"/>
          <w:sz w:val="22"/>
        </w:rPr>
        <w:t>Taules/figures de LAI, fIPAR, alçada i volum del dosser per als cinc tractaments (SE, EL, EM, ES, ES+DV) i les tres dates; resultats del test (ANOVA + Tukey o Kruskal–Wallis) amb lletres de separació de mitjanes.</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 per tractament.</w:t>
      </w:r>
    </w:p>
    <w:p>
      <w:pPr>
        <w:pStyle w:val="Heading2"/>
        <w:spacing w:before="240" w:after="160"/>
      </w:pPr>
      <w:r>
        <w:rPr>
          <w:rFonts w:ascii="Arial" w:hAnsi="Arial" w:cs="Arial"/>
          <w:b/>
          <w:i w:val="0"/>
          <w:sz w:val="26"/>
        </w:rPr>
        <w:t>5.3. Evapotranspiració (ETa i ETp) per tractament de capçada</w:t>
      </w:r>
    </w:p>
    <w:p>
      <w:pPr>
        <w:spacing w:after="120" w:before="0"/>
        <w:jc w:val="left"/>
      </w:pPr>
      <w:r>
        <w:rPr>
          <w:rFonts w:ascii="Arial" w:hAnsi="Arial" w:cs="Arial"/>
          <w:b w:val="0"/>
          <w:i/>
          <w:color w:val="B00000"/>
          <w:sz w:val="22"/>
        </w:rPr>
        <w:t>Valors d'ETa i ETp estimats amb TSEB i S–W per tractament i data; partició transpiració/evaporació; comparació amb la transpiració mesurada amb sensors de flux de saba (sap flow sensors) i amb l'aigua de reg aplicada (registrada amb cabalímetres) de l'assaig.</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 Atès que el reg manté un mateix estat hídric entre tractaments, valoreu fins a quin punt el CWSI reflecteix l'arquitectura del dosser més que no pas l'estrès imposat.</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CWSI–Ψstem; (v)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