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title"/>
        <w:rPr/>
      </w:pPr>
      <w:r>
        <w:rPr/>
        <w:t>Article Title</w:t>
      </w:r>
    </w:p>
    <w:p>
      <w:pPr>
        <w:pStyle w:val="PRauthors"/>
        <w:rPr/>
      </w:pPr>
      <w:r>
        <w:rPr/>
        <w:t>First Author</w:t>
      </w:r>
      <w:r>
        <w:rPr>
          <w:vertAlign w:val="superscript"/>
        </w:rPr>
        <w:t>1, *</w:t>
      </w:r>
      <w:r>
        <w:rPr/>
        <w:t>, Second Author</w:t>
      </w:r>
      <w:r>
        <w:rPr>
          <w:vertAlign w:val="superscript"/>
        </w:rPr>
        <w:t>2</w:t>
      </w:r>
      <w:r>
        <w:rPr/>
        <w:t xml:space="preserve"> and Third Author</w:t>
      </w:r>
      <w:r>
        <w:rPr>
          <w:vertAlign w:val="superscript"/>
        </w:rPr>
        <w:t>2</w:t>
      </w:r>
    </w:p>
    <w:p>
      <w:pPr>
        <w:pStyle w:val="Normal"/>
        <w:spacing w:lineRule="auto" w:line="276" w:before="0" w:after="0"/>
        <w:jc w:val="center"/>
        <w:rPr>
          <w:sz w:val="24"/>
        </w:rPr>
      </w:pPr>
      <w:r>
        <w:rPr>
          <w:sz w:val="24"/>
        </w:rPr>
      </w:r>
    </w:p>
    <w:p>
      <w:pPr>
        <w:pStyle w:val="PRauthoraffiliations"/>
        <w:rPr>
          <w:i/>
          <w:iCs/>
        </w:rPr>
      </w:pPr>
      <w:r>
        <w:rPr>
          <w:vertAlign w:val="superscript"/>
        </w:rPr>
        <w:t>1</w:t>
      </w:r>
      <w:r>
        <w:rPr>
          <w:i/>
          <w:iCs/>
        </w:rPr>
        <w:t>Affiliation of First Author, City, Country</w:t>
      </w:r>
    </w:p>
    <w:p>
      <w:pPr>
        <w:pStyle w:val="Normal"/>
        <w:spacing w:lineRule="auto" w:line="276" w:before="0" w:after="0"/>
        <w:jc w:val="center"/>
        <w:rPr>
          <w:i/>
          <w:iCs/>
          <w:sz w:val="20"/>
          <w:szCs w:val="20"/>
        </w:rPr>
      </w:pPr>
      <w:r>
        <w:rPr>
          <w:sz w:val="20"/>
          <w:szCs w:val="20"/>
          <w:vertAlign w:val="superscript"/>
        </w:rPr>
        <w:t>2</w:t>
      </w:r>
      <w:r>
        <w:rPr>
          <w:i/>
          <w:iCs/>
          <w:sz w:val="20"/>
          <w:szCs w:val="20"/>
        </w:rPr>
        <w:t>Affiliation of Second Author, City, Country</w:t>
      </w:r>
    </w:p>
    <w:p>
      <w:pPr>
        <w:pStyle w:val="Normal"/>
        <w:spacing w:lineRule="auto" w:line="276" w:before="0" w:after="0"/>
        <w:jc w:val="center"/>
        <w:rPr>
          <w:sz w:val="20"/>
          <w:szCs w:val="20"/>
        </w:rPr>
      </w:pPr>
      <w:r>
        <w:rPr>
          <w:sz w:val="20"/>
          <w:szCs w:val="20"/>
          <w:vertAlign w:val="superscript"/>
        </w:rPr>
        <w:t>*</w:t>
      </w:r>
      <w:r>
        <w:rPr>
          <w:i/>
          <w:iCs/>
          <w:sz w:val="20"/>
          <w:szCs w:val="20"/>
        </w:rPr>
        <w:t>Corresponding author: First Author</w:t>
      </w:r>
      <w:r>
        <w:rPr>
          <w:sz w:val="20"/>
          <w:szCs w:val="20"/>
        </w:rPr>
        <w:t xml:space="preserve"> – </w:t>
      </w:r>
      <w:r>
        <w:rPr>
          <w:rFonts w:cs="Courier New" w:ascii="Courier New" w:hAnsi="Courier New"/>
          <w:sz w:val="20"/>
          <w:szCs w:val="20"/>
        </w:rPr>
        <w:t>first.author@university.e</w:t>
      </w:r>
      <w:r>
        <w:rPr>
          <w:rFonts w:cs="Courier New" w:ascii="Courier New" w:hAnsi="Courier New"/>
          <w:sz w:val="20"/>
          <w:szCs w:val="20"/>
        </w:rPr>
        <w:t>mail</w:t>
      </w:r>
    </w:p>
    <w:p>
      <w:pPr>
        <w:pStyle w:val="Normal"/>
        <w:spacing w:lineRule="auto" w:line="276" w:before="0" w:after="0"/>
        <w:jc w:val="center"/>
        <w:rPr>
          <w:sz w:val="20"/>
          <w:szCs w:val="20"/>
        </w:rPr>
      </w:pPr>
      <w:r>
        <w:rPr>
          <w:sz w:val="20"/>
          <w:szCs w:val="20"/>
        </w:rPr>
      </w:r>
    </w:p>
    <w:p>
      <w:pPr>
        <w:pStyle w:val="PRsmall"/>
        <w:rPr/>
      </w:pPr>
      <w:r>
        <w:rPr/>
        <w:t>Submitted: Month Day, Year</w:t>
      </w:r>
    </w:p>
    <w:p>
      <w:pPr>
        <w:pStyle w:val="Normal"/>
        <w:spacing w:lineRule="auto" w:line="276" w:before="0" w:after="0"/>
        <w:jc w:val="center"/>
        <w:rPr/>
      </w:pPr>
      <w:r>
        <w:rPr/>
      </w:r>
    </w:p>
    <w:p>
      <w:pPr>
        <w:pStyle w:val="PRmain"/>
        <w:rPr/>
      </w:pPr>
      <w:r>
        <w:rPr/>
        <w:t xml:space="preserve">© Year The authors – Licensed under </w:t>
      </w:r>
      <w:hyperlink r:id="rId2">
        <w:r>
          <w:rPr>
            <w:rStyle w:val="Hyperlink"/>
          </w:rPr>
          <w:t>CC BY 4.0</w:t>
        </w:r>
      </w:hyperlink>
    </w:p>
    <w:p>
      <w:pPr>
        <w:pStyle w:val="PRfrontpage"/>
        <w:rPr/>
      </w:pPr>
      <w:r>
        <w:rPr>
          <w:b/>
          <w:bCs/>
        </w:rPr>
        <w:t>Manuscript type</w:t>
      </w:r>
      <w:r>
        <w:rPr/>
        <w:t>: Article, Review, Letter, Numerical code, Dataset, Missions and instrumentation, Introduction, Co</w:t>
      </w:r>
      <w:r>
        <w:rPr>
          <w:rStyle w:val="PRfrontpageCar"/>
        </w:rPr>
        <w:t>mm</w:t>
      </w:r>
      <w:r>
        <w:rPr/>
        <w:t>entary or Editorial.</w:t>
      </w:r>
    </w:p>
    <w:p>
      <w:pPr>
        <w:pStyle w:val="PRmain"/>
        <w:spacing w:before="0" w:after="0"/>
        <w:rPr/>
      </w:pPr>
      <w:r>
        <w:rPr/>
      </w:r>
    </w:p>
    <w:p>
      <w:pPr>
        <w:pStyle w:val="PRfrontpage"/>
        <w:rPr/>
      </w:pPr>
      <w:r>
        <w:rPr>
          <w:b/>
          <w:bCs/>
        </w:rPr>
        <w:t>Summary</w:t>
      </w:r>
      <w:r>
        <w:rPr/>
        <w:t>: Provide a short summary that is 350 or fewer characters in length. This summary will appear before the manuscript abstract and will also appear in the issue's table of contents. Summaries should in general be written in full sentences, though other formats may be considered when they respect the character limit.</w:t>
      </w:r>
    </w:p>
    <w:p>
      <w:pPr>
        <w:pStyle w:val="PRfrontpage"/>
        <w:rPr/>
      </w:pPr>
      <w:r>
        <w:rPr/>
      </w:r>
    </w:p>
    <w:p>
      <w:pPr>
        <w:pStyle w:val="PRabstracttitle"/>
        <w:ind w:hanging="0" w:start="0"/>
        <w:rPr/>
      </w:pPr>
      <w:r>
        <w:rPr/>
        <w:t>Abstract</w:t>
      </w:r>
    </w:p>
    <w:p>
      <w:pPr>
        <w:pStyle w:val="PRabstract"/>
        <w:rPr/>
      </w:pPr>
      <w:r>
        <w:rPr/>
        <w:t>All submissions to Planetary Research must use the official journal template. By using this template, the authors ensure that all metadata required by the journal are provided, that all elements of the manuscript are present, and that the manuscript is formatted according to the journal's standards. The use of the journal template also ensures that the manuscript can be processed as part of the journal's post-acceptance production pipeline. Manuscript submissions that do not follow the journal's submission guidelines will be declined to be reviewed. The abstract must contain 250 words or less, without line breaks. It should provide a clear understanding of the work without requiring the reader to consult the full article. The abstract must be self-contained: it should not include references, and any abbreviations or acronyms must be introduced. The abstract should provide the context or background for the study and should state the study's purpose, basic procedures, main findings, and principal conclusions.</w:t>
      </w:r>
      <w:r>
        <w:br w:type="page"/>
      </w:r>
    </w:p>
    <w:p>
      <w:pPr>
        <w:pStyle w:val="PRHeading1"/>
        <w:numPr>
          <w:ilvl w:val="0"/>
          <w:numId w:val="1"/>
        </w:numPr>
        <w:spacing w:before="0" w:after="240"/>
        <w:rPr/>
      </w:pPr>
      <w:r>
        <w:rPr/>
        <w:t>Introduction</w:t>
      </w:r>
    </w:p>
    <w:p>
      <w:pPr>
        <w:pStyle w:val="PRmain"/>
        <w:rPr/>
      </w:pPr>
      <w:r>
        <w:rPr>
          <w:i/>
          <w:iCs/>
        </w:rPr>
        <w:t>Planetary Research</w:t>
      </w:r>
      <w:r>
        <w:rPr/>
        <w:t xml:space="preserve"> publishes several different manuscript types that differ in their scope, length, and review process. Most work is published as long-format research articles and short letters, but other article types are provided for the specific cases of reviews, numerical codes, datasets, planetary missions and instrumentation, introductions to special issues, commentaries and editorials. As described in the relevant journal policies, the journal will also publish corrections to previously published articles.</w:t>
      </w:r>
    </w:p>
    <w:p>
      <w:pPr>
        <w:pStyle w:val="PRheading2"/>
        <w:numPr>
          <w:ilvl w:val="1"/>
          <w:numId w:val="1"/>
        </w:numPr>
        <w:rPr/>
      </w:pPr>
      <w:r>
        <w:rPr/>
        <w:t>Manuscript types</w:t>
      </w:r>
    </w:p>
    <w:p>
      <w:pPr>
        <w:pStyle w:val="PRheading3"/>
        <w:numPr>
          <w:ilvl w:val="2"/>
          <w:numId w:val="1"/>
        </w:numPr>
        <w:rPr/>
      </w:pPr>
      <w:r>
        <w:rPr/>
        <w:t>Article</w:t>
      </w:r>
    </w:p>
    <w:p>
      <w:pPr>
        <w:pStyle w:val="PRmain"/>
        <w:rPr/>
      </w:pPr>
      <w:r>
        <w:rPr/>
        <w:t>Articles present original scientific results in planetary science that are supported by a sound methodological approach and rigorous analysis techniques. Research articles should be concise, but otherwise have no length limitations. Research articles may be accompanied by an author formatted PDF that contains supplementary text, tables, and figures.</w:t>
      </w:r>
    </w:p>
    <w:p>
      <w:pPr>
        <w:pStyle w:val="PRheading3"/>
        <w:numPr>
          <w:ilvl w:val="2"/>
          <w:numId w:val="1"/>
        </w:numPr>
        <w:rPr/>
      </w:pPr>
      <w:r>
        <w:rPr/>
        <w:t>Letter</w:t>
      </w:r>
    </w:p>
    <w:p>
      <w:pPr>
        <w:pStyle w:val="PRmain"/>
        <w:rPr/>
      </w:pPr>
      <w:r>
        <w:rPr/>
        <w:t>Letters are short research articles that report new results that are of broad interest to the planetary science community. These manuscripts must contain fewer than 4500 words in the combined abstract, main text and captions, and may contain up to three figures or tables. Following the main text, the manuscript may include a methods section that is no more than 3000 words in length. Supplementary figures and tables (but not text) may be included in an author formatted PDF to support the conclusions of the main text.</w:t>
      </w:r>
    </w:p>
    <w:p>
      <w:pPr>
        <w:pStyle w:val="PRheading3"/>
        <w:numPr>
          <w:ilvl w:val="2"/>
          <w:numId w:val="1"/>
        </w:numPr>
        <w:rPr/>
      </w:pPr>
      <w:r>
        <w:rPr/>
        <w:t>Review</w:t>
      </w:r>
    </w:p>
    <w:p>
      <w:pPr>
        <w:pStyle w:val="PRmain"/>
        <w:rPr/>
      </w:pPr>
      <w:r>
        <w:rPr/>
        <w:t>Reviews present a broad overview of a research topic that is relevant to a large segment of the planetary science community. To ensure that the manuscript is well balanced and represents a community consensus viewpoint, review articles are subjected to a more demanding peer review process than normal research articles, which may include additional reviewers and rounds of revisions. Reviews must receive prior approval from the editor-in-chief. Before submission, the author should provide a letter to the editorial board that makes the case as to why such a review is necessary and timely.</w:t>
      </w:r>
    </w:p>
    <w:p>
      <w:pPr>
        <w:pStyle w:val="PRheading3"/>
        <w:numPr>
          <w:ilvl w:val="2"/>
          <w:numId w:val="1"/>
        </w:numPr>
        <w:rPr/>
      </w:pPr>
      <w:r>
        <w:rPr/>
        <w:t>Numerical code</w:t>
      </w:r>
    </w:p>
    <w:p>
      <w:pPr>
        <w:pStyle w:val="PRmain"/>
        <w:rPr/>
      </w:pPr>
      <w:r>
        <w:rPr/>
        <w:t>This manuscript type describes numerical codes that are of general use and interest to the planetary science community. The text should present the numerical methods used in the code, describe how the code can be used in practical circumstances, and provide examples that can be executed and easily modified. The code itself must be open source with a license that allows it to be freely used, modified and shared. The code archive must be versioned and accessible for download on an external website with either a DOI, a software hash identifier (SWHID), or an astrophysics source code library identifier (ASCL). The code must have sufficient documentation such that it can be easily installed and used.</w:t>
      </w:r>
    </w:p>
    <w:p>
      <w:pPr>
        <w:pStyle w:val="PRheading3"/>
        <w:numPr>
          <w:ilvl w:val="2"/>
          <w:numId w:val="1"/>
        </w:numPr>
        <w:rPr/>
      </w:pPr>
      <w:r>
        <w:rPr/>
        <w:t>Dataset</w:t>
      </w:r>
    </w:p>
    <w:p>
      <w:pPr>
        <w:pStyle w:val="PRmain"/>
        <w:rPr/>
      </w:pPr>
      <w:r>
        <w:rPr/>
        <w:t>This manuscript type presents important new datasets that will be of use to future scientific analyses. These manuscripts present the motivation and rational for acquiring the data, they describe the methodology by which the data were collected and calibrated, and they provide appropriate tests and analyses to validate the data quality. Dataset manuscripts quantify the properties of the dataset, but are not expected to provide new scientific results derived from the data. The dataset files must be deposited in an external archive that is accessible for download with a DOI, and the archive must provide sufficient metadata and documentation to understand the contents of the files.</w:t>
      </w:r>
    </w:p>
    <w:p>
      <w:pPr>
        <w:pStyle w:val="PRheading3"/>
        <w:numPr>
          <w:ilvl w:val="2"/>
          <w:numId w:val="1"/>
        </w:numPr>
        <w:rPr/>
      </w:pPr>
      <w:r>
        <w:rPr/>
        <w:t>Missions and instrumentation</w:t>
      </w:r>
    </w:p>
    <w:p>
      <w:pPr>
        <w:pStyle w:val="PRmain"/>
        <w:rPr/>
      </w:pPr>
      <w:r>
        <w:rPr/>
        <w:t>This manuscript type presents summaries and detailed descriptions of planetary missions, planetary instrumentation, and supporting ground based activities. Only those missions that have flown, or that were selected by a national space agency and are funded for a future launch, are considered for this manuscript type. Manuscripts regarding unsuccessful missions are appropriate, as are canceled missions that were in a mature state of development at the time of cancelation. Concepts and ideas for a mission or instrument are not considered for this article type.</w:t>
      </w:r>
    </w:p>
    <w:p>
      <w:pPr>
        <w:pStyle w:val="PRheading3"/>
        <w:numPr>
          <w:ilvl w:val="2"/>
          <w:numId w:val="1"/>
        </w:numPr>
        <w:rPr/>
      </w:pPr>
      <w:r>
        <w:rPr/>
        <w:t>Introduction</w:t>
      </w:r>
    </w:p>
    <w:p>
      <w:pPr>
        <w:pStyle w:val="PRmain"/>
        <w:rPr/>
      </w:pPr>
      <w:r>
        <w:rPr/>
        <w:t>Introductions are short manuscripts that introduce or preface a special issue. This article type will often undergo a less demanding peer review process than normal research articles, which could include fewer or even no peer reviews.</w:t>
      </w:r>
    </w:p>
    <w:p>
      <w:pPr>
        <w:pStyle w:val="PRheading3"/>
        <w:numPr>
          <w:ilvl w:val="2"/>
          <w:numId w:val="1"/>
        </w:numPr>
        <w:rPr/>
      </w:pPr>
      <w:r>
        <w:rPr/>
        <w:t>Editorial</w:t>
      </w:r>
    </w:p>
    <w:p>
      <w:pPr>
        <w:pStyle w:val="PRmain"/>
        <w:rPr/>
      </w:pPr>
      <w:r>
        <w:rPr/>
        <w:t>Editorials are manuscripts that describe official journal policies or that discuss a point of view that is sanctioned by the editorial board. Editorials are generally authored by members of the journal, but can be authored by non-journal members when approved by the editorial board. Editorials are reviewed only by the editorial board.</w:t>
      </w:r>
    </w:p>
    <w:p>
      <w:pPr>
        <w:pStyle w:val="PRheading3"/>
        <w:numPr>
          <w:ilvl w:val="2"/>
          <w:numId w:val="1"/>
        </w:numPr>
        <w:rPr/>
      </w:pPr>
      <w:r>
        <w:rPr/>
        <w:t>Commentary</w:t>
      </w:r>
    </w:p>
    <w:p>
      <w:pPr>
        <w:pStyle w:val="PRmain"/>
        <w:rPr/>
      </w:pPr>
      <w:r>
        <w:rPr/>
        <w:t>Commentaries are articles that present a point of view on a topic, that summarize scientific meetings or workshops, that provide context concerning recent or historical events that affect the planetary science community, or that discuss any issue that may be of interest to the readers of the journal. These manuscripts are reviewed in the same manner as research articles. Before submitting a commentary, it is recommended that the authors discuss the manuscript with the editor-in-chief.</w:t>
      </w:r>
    </w:p>
    <w:p>
      <w:pPr>
        <w:pStyle w:val="PRHeading1"/>
        <w:numPr>
          <w:ilvl w:val="0"/>
          <w:numId w:val="1"/>
        </w:numPr>
        <w:rPr/>
      </w:pPr>
      <w:r>
        <w:rPr/>
        <w:t>Submission Preparation Checklist</w:t>
      </w:r>
    </w:p>
    <w:p>
      <w:pPr>
        <w:pStyle w:val="PRmain"/>
        <w:numPr>
          <w:ilvl w:val="0"/>
          <w:numId w:val="2"/>
        </w:numPr>
        <w:rPr/>
      </w:pPr>
      <w:r>
        <w:rPr/>
        <w:t>The manuscript has not been previously published, nor is it being considered for publication, in another peer-reviewed journal.</w:t>
      </w:r>
    </w:p>
    <w:p>
      <w:pPr>
        <w:pStyle w:val="PRmain"/>
        <w:numPr>
          <w:ilvl w:val="0"/>
          <w:numId w:val="2"/>
        </w:numPr>
        <w:rPr/>
      </w:pPr>
      <w:r>
        <w:rPr/>
        <w:t>The manuscript uses the journal provided templates and follows the journal's submission guidelines.</w:t>
      </w:r>
    </w:p>
    <w:p>
      <w:pPr>
        <w:pStyle w:val="PRmain"/>
        <w:numPr>
          <w:ilvl w:val="0"/>
          <w:numId w:val="2"/>
        </w:numPr>
        <w:rPr/>
      </w:pPr>
      <w:r>
        <w:rPr/>
        <w:t>All references have been checked for accuracy and completeness, are formatted in the style used by the journal, and have a persistent identifier (when one exists).</w:t>
      </w:r>
    </w:p>
    <w:p>
      <w:pPr>
        <w:pStyle w:val="PRmain"/>
        <w:numPr>
          <w:ilvl w:val="0"/>
          <w:numId w:val="2"/>
        </w:numPr>
        <w:rPr/>
      </w:pPr>
      <w:r>
        <w:rPr/>
        <w:t>All necessary copyright permissions have been secured for any third-party materials that are reproduced in the manuscript.</w:t>
      </w:r>
    </w:p>
    <w:p>
      <w:pPr>
        <w:pStyle w:val="PRmain"/>
        <w:numPr>
          <w:ilvl w:val="0"/>
          <w:numId w:val="2"/>
        </w:numPr>
        <w:rPr/>
      </w:pPr>
      <w:r>
        <w:rPr/>
        <w:t>All datasets and numerical codes that were used or generated by the study meet the journal's open science requirements.</w:t>
      </w:r>
    </w:p>
    <w:p>
      <w:pPr>
        <w:pStyle w:val="PRmain"/>
        <w:numPr>
          <w:ilvl w:val="0"/>
          <w:numId w:val="2"/>
        </w:numPr>
        <w:rPr/>
      </w:pPr>
      <w:r>
        <w:rPr/>
        <w:t>All uses of artificial intelligence have been acknowledged in accordance with the journal's AI policies.</w:t>
      </w:r>
    </w:p>
    <w:p>
      <w:pPr>
        <w:pStyle w:val="PRmain"/>
        <w:numPr>
          <w:ilvl w:val="0"/>
          <w:numId w:val="2"/>
        </w:numPr>
        <w:rPr/>
      </w:pPr>
      <w:r>
        <w:rPr/>
        <w:t>All authors meet the journal's authorship requirements and have clearly identified roles according to the Contributor Role Taxonomy.</w:t>
      </w:r>
    </w:p>
    <w:p>
      <w:pPr>
        <w:pStyle w:val="PRmain"/>
        <w:numPr>
          <w:ilvl w:val="0"/>
          <w:numId w:val="2"/>
        </w:numPr>
        <w:rPr/>
      </w:pPr>
      <w:r>
        <w:rPr/>
        <w:t>All authors are aware of the journal's zero-tolerance plagiarism policy.</w:t>
      </w:r>
    </w:p>
    <w:p>
      <w:pPr>
        <w:pStyle w:val="PRmain"/>
        <w:numPr>
          <w:ilvl w:val="0"/>
          <w:numId w:val="2"/>
        </w:numPr>
        <w:rPr/>
      </w:pPr>
      <w:r>
        <w:rPr/>
        <w:t>All authors agree to submit the manuscript and have agreed to the order of the author list.</w:t>
      </w:r>
    </w:p>
    <w:p>
      <w:pPr>
        <w:pStyle w:val="PRHeading1"/>
        <w:numPr>
          <w:ilvl w:val="0"/>
          <w:numId w:val="1"/>
        </w:numPr>
        <w:rPr/>
      </w:pPr>
      <w:r>
        <w:rPr/>
        <w:t>Article Components</w:t>
      </w:r>
    </w:p>
    <w:p>
      <w:pPr>
        <w:pStyle w:val="PRheading2"/>
        <w:numPr>
          <w:ilvl w:val="1"/>
          <w:numId w:val="1"/>
        </w:numPr>
        <w:rPr/>
      </w:pPr>
      <w:r>
        <w:rPr/>
        <w:t>Summary</w:t>
      </w:r>
    </w:p>
    <w:p>
      <w:pPr>
        <w:pStyle w:val="PRmain"/>
        <w:rPr/>
      </w:pPr>
      <w:r>
        <w:rPr/>
        <w:t>All submissions must contain an article summary that is 350 or fewer characters in length. This short summary will appear before the manuscript abstract and will also appear in the issue's table of contents. Summaries should in general be written in full sentences, though other formats may be considered when they respect the character limit.</w:t>
      </w:r>
    </w:p>
    <w:p>
      <w:pPr>
        <w:pStyle w:val="PRheading2"/>
        <w:numPr>
          <w:ilvl w:val="1"/>
          <w:numId w:val="1"/>
        </w:numPr>
        <w:rPr/>
      </w:pPr>
      <w:r>
        <w:rPr/>
        <w:t>Abstract</w:t>
      </w:r>
    </w:p>
    <w:p>
      <w:pPr>
        <w:pStyle w:val="PRmain"/>
        <w:rPr/>
      </w:pPr>
      <w:r>
        <w:rPr/>
        <w:t>Abstracts must contain 250 or fewer words. All acronyms used in the abstract must be defined at the time they are first used. Abstracts should not contain paragraph breaks and should avoid citing other work whenever possible.</w:t>
      </w:r>
    </w:p>
    <w:p>
      <w:pPr>
        <w:pStyle w:val="PRheading2"/>
        <w:numPr>
          <w:ilvl w:val="1"/>
          <w:numId w:val="1"/>
        </w:numPr>
        <w:rPr/>
      </w:pPr>
      <w:r>
        <w:rPr/>
        <w:t>Figures</w:t>
      </w:r>
    </w:p>
    <w:p>
      <w:pPr>
        <w:pStyle w:val="PRmain"/>
        <w:rPr/>
      </w:pPr>
      <w:r>
        <w:rPr/>
        <w:t>Following the acceptance of an article, the journal will ask for original versions of each figure. The journal accepts the following file formats: jpg, png, tiff, pdf, and svg. Each figure should consist of a single file, and if the figure is composed of several components, it is the author's responsibility to combine these into a single file as exemplified in Figure 1.</w:t>
      </w:r>
    </w:p>
    <w:p>
      <w:pPr>
        <w:pStyle w:val="PRmain"/>
        <w:spacing w:before="0" w:after="0"/>
        <w:jc w:val="center"/>
        <w:rPr/>
      </w:pPr>
      <w:r>
        <w:rPr/>
        <w:drawing>
          <wp:inline distT="0" distB="0" distL="0" distR="0">
            <wp:extent cx="4260850" cy="929640"/>
            <wp:effectExtent l="0" t="0" r="0" b="0"/>
            <wp:docPr id="1" name="Image 1" descr="Une image contenant Police, text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blanc, typographie&#10;&#10;Le contenu généré par l’IA peut être incorrect."/>
                    <pic:cNvPicPr>
                      <a:picLocks noChangeAspect="1" noChangeArrowheads="1"/>
                    </pic:cNvPicPr>
                  </pic:nvPicPr>
                  <pic:blipFill>
                    <a:blip r:embed="rId3"/>
                    <a:stretch>
                      <a:fillRect/>
                    </a:stretch>
                  </pic:blipFill>
                  <pic:spPr bwMode="auto">
                    <a:xfrm>
                      <a:off x="0" y="0"/>
                      <a:ext cx="4260850" cy="929640"/>
                    </a:xfrm>
                    <a:prstGeom prst="rect">
                      <a:avLst/>
                    </a:prstGeom>
                    <a:noFill/>
                  </pic:spPr>
                </pic:pic>
              </a:graphicData>
            </a:graphic>
          </wp:inline>
        </w:drawing>
      </w:r>
    </w:p>
    <w:p>
      <w:pPr>
        <w:pStyle w:val="PRcaption"/>
        <w:rPr/>
      </w:pPr>
      <w:r>
        <w:rPr>
          <w:b/>
          <w:bCs/>
        </w:rPr>
        <w:t>Figure 1</w:t>
      </w:r>
      <w:r>
        <w:rPr/>
        <w:t>. Caption</w:t>
      </w:r>
    </w:p>
    <w:p>
      <w:pPr>
        <w:pStyle w:val="PRmain"/>
        <w:rPr/>
      </w:pPr>
      <w:r>
        <w:rPr/>
        <w:t>Figures must be sized to fit in the PDF version of the manuscript. Images will appear with widths between 10 and 15 cm, and have a maximum permissible height of 22 cm. The minimum permissible dpi (dots per inch) is 150. In terms of pixels, these dimensions correspond to 590-890×1300. Each figure must contain a caption. If the figure was published previously, the original source must be acknowledged. Furthermore, written permission to reuse the figure must be provided to the journal from the copyright holder if the figure is not distributed under a license permitting reuse.</w:t>
      </w:r>
    </w:p>
    <w:p>
      <w:pPr>
        <w:pStyle w:val="PRheading2"/>
        <w:numPr>
          <w:ilvl w:val="1"/>
          <w:numId w:val="1"/>
        </w:numPr>
        <w:rPr/>
      </w:pPr>
      <w:r>
        <w:rPr/>
        <w:t>Tables</w:t>
      </w:r>
    </w:p>
    <w:p>
      <w:pPr>
        <w:pStyle w:val="PRmain"/>
        <w:rPr/>
      </w:pPr>
      <w:r>
        <w:rPr/>
        <w:t>Each table must contain a caption. The maximum width of a table cannot exceed the width of the PDF page: The journal does not support landscape mode for large tables, and the font size used for tables in the manuscript cannot be modified (see Table 1).</w:t>
      </w:r>
    </w:p>
    <w:tbl>
      <w:tblPr>
        <w:tblStyle w:val="Grilledutableau"/>
        <w:tblW w:w="623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6"/>
        <w:gridCol w:w="3117"/>
      </w:tblGrid>
      <w:tr>
        <w:trPr/>
        <w:tc>
          <w:tcPr>
            <w:tcW w:w="3116" w:type="dxa"/>
            <w:tcBorders>
              <w:top w:val="single" w:sz="8" w:space="0" w:color="000000"/>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b/>
                <w:bCs/>
              </w:rPr>
            </w:pPr>
            <w:r>
              <w:rPr>
                <w:rFonts w:eastAsia="Aptos" w:cs=""/>
                <w:b/>
                <w:bCs/>
                <w:kern w:val="2"/>
                <w:lang w:val="en-US" w:eastAsia="en-US" w:bidi="ar-SA"/>
              </w:rPr>
              <w:t>Name</w:t>
            </w:r>
          </w:p>
        </w:tc>
        <w:tc>
          <w:tcPr>
            <w:tcW w:w="3117" w:type="dxa"/>
            <w:tcBorders>
              <w:top w:val="single" w:sz="8" w:space="0" w:color="000000"/>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b/>
                <w:bCs/>
              </w:rPr>
            </w:pPr>
            <w:r>
              <w:rPr>
                <w:rFonts w:eastAsia="Aptos" w:cs=""/>
                <w:b/>
                <w:bCs/>
                <w:kern w:val="2"/>
                <w:lang w:val="en-US" w:eastAsia="en-US" w:bidi="ar-SA"/>
              </w:rPr>
              <w:t>Variable</w:t>
            </w:r>
          </w:p>
        </w:tc>
      </w:tr>
      <w:tr>
        <w:trPr/>
        <w:tc>
          <w:tcPr>
            <w:tcW w:w="3116" w:type="dxa"/>
            <w:tcBorders>
              <w:top w:val="single" w:sz="8" w:space="0" w:color="000000"/>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Dummy parameter A before event</w:t>
            </w:r>
          </w:p>
        </w:tc>
        <w:tc>
          <w:tcPr>
            <w:tcW w:w="3117" w:type="dxa"/>
            <w:tcBorders>
              <w:top w:val="single" w:sz="8" w:space="0" w:color="000000"/>
              <w:start w:val="nil"/>
              <w:end w:val="nil"/>
            </w:tcBorders>
            <w:shd w:color="auto" w:fill="F2F2F2" w:themeFill="background1" w:themeFillShade="f2" w:val="clear"/>
            <w:vAlign w:val="center"/>
          </w:tcPr>
          <w:p>
            <w:pPr>
              <w:pStyle w:val="PRsmall"/>
              <w:widowControl/>
              <w:suppressAutoHyphens w:val="true"/>
              <w:spacing w:before="0" w:after="0"/>
              <w:rPr>
                <w:vertAlign w:val="subscript"/>
              </w:rPr>
            </w:pPr>
            <w:r>
              <w:rPr>
                <w:rFonts w:eastAsia="Aptos" w:cs=""/>
                <w:kern w:val="2"/>
                <w:lang w:val="en-US" w:eastAsia="en-US" w:bidi="ar-SA"/>
              </w:rPr>
              <w:t>α</w:t>
            </w:r>
            <w:r>
              <w:rPr>
                <w:rFonts w:eastAsia="Aptos" w:cs=""/>
                <w:kern w:val="2"/>
                <w:vertAlign w:val="subscript"/>
                <w:lang w:val="en-US" w:eastAsia="en-US" w:bidi="ar-SA"/>
              </w:rPr>
              <w:t>before</w:t>
            </w:r>
          </w:p>
        </w:tc>
      </w:tr>
      <w:tr>
        <w:trPr/>
        <w:tc>
          <w:tcPr>
            <w:tcW w:w="3116"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Dummy parameter B before event</w:t>
            </w:r>
          </w:p>
        </w:tc>
        <w:tc>
          <w:tcPr>
            <w:tcW w:w="3117" w:type="dxa"/>
            <w:tcBorders>
              <w:start w:val="nil"/>
              <w:end w:val="nil"/>
            </w:tcBorders>
            <w:shd w:color="auto" w:fill="F2F2F2" w:themeFill="background1" w:themeFillShade="f2" w:val="clear"/>
            <w:vAlign w:val="center"/>
          </w:tcPr>
          <w:p>
            <w:pPr>
              <w:pStyle w:val="PRsmall"/>
              <w:widowControl/>
              <w:suppressAutoHyphens w:val="true"/>
              <w:spacing w:before="0" w:after="0"/>
              <w:rPr>
                <w:vertAlign w:val="subscript"/>
              </w:rPr>
            </w:pPr>
            <w:r>
              <w:rPr>
                <w:rFonts w:eastAsia="Aptos" w:cs=""/>
                <w:kern w:val="2"/>
                <w:lang w:val="en-US" w:eastAsia="en-US" w:bidi="ar-SA"/>
              </w:rPr>
              <w:t>β</w:t>
            </w:r>
            <w:r>
              <w:rPr>
                <w:rFonts w:eastAsia="Aptos" w:cs=""/>
                <w:kern w:val="2"/>
                <w:vertAlign w:val="subscript"/>
                <w:lang w:val="en-US" w:eastAsia="en-US" w:bidi="ar-SA"/>
              </w:rPr>
              <w:t>before</w:t>
            </w:r>
          </w:p>
        </w:tc>
      </w:tr>
      <w:tr>
        <w:trPr/>
        <w:tc>
          <w:tcPr>
            <w:tcW w:w="3116"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Sum of Gaussian differences in A</w:t>
            </w:r>
          </w:p>
        </w:tc>
        <w:tc>
          <w:tcPr>
            <w:tcW w:w="3117"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ΣDoG(∆α)</w:t>
            </w:r>
          </w:p>
        </w:tc>
      </w:tr>
      <w:tr>
        <w:trPr/>
        <w:tc>
          <w:tcPr>
            <w:tcW w:w="3116" w:type="dxa"/>
            <w:tcBorders>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i/>
                <w:iCs/>
              </w:rPr>
            </w:pPr>
            <w:r>
              <w:rPr>
                <w:rFonts w:eastAsia="Aptos" w:cs=""/>
                <w:i/>
                <w:iCs/>
                <w:kern w:val="2"/>
                <w:lang w:val="en-US" w:eastAsia="en-US" w:bidi="ar-SA"/>
              </w:rPr>
              <w:t>Normalized Dummy Index</w:t>
            </w:r>
          </w:p>
        </w:tc>
        <w:tc>
          <w:tcPr>
            <w:tcW w:w="3117" w:type="dxa"/>
            <w:tcBorders>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NDI</w:t>
            </w:r>
          </w:p>
        </w:tc>
      </w:tr>
    </w:tbl>
    <w:p>
      <w:pPr>
        <w:pStyle w:val="PRcaption"/>
        <w:rPr/>
      </w:pPr>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r>
        <w:rPr/>
        <w:t>. Example ta</w:t>
      </w:r>
      <w:r>
        <w:rPr>
          <w:rStyle w:val="PRcaptionCar"/>
        </w:rPr>
        <w:t xml:space="preserve">ble </w:t>
      </w:r>
      <w:r>
        <w:rPr/>
        <w:t>with placeholder content. Replace labels and symbols as needed.</w:t>
      </w:r>
    </w:p>
    <w:p>
      <w:pPr>
        <w:pStyle w:val="PRheading2"/>
        <w:numPr>
          <w:ilvl w:val="1"/>
          <w:numId w:val="1"/>
        </w:numPr>
        <w:rPr/>
      </w:pPr>
      <w:r>
        <w:rPr/>
        <w:t>References</w:t>
      </w:r>
    </w:p>
    <w:p>
      <w:pPr>
        <w:pStyle w:val="PRmain"/>
        <w:rPr/>
      </w:pPr>
      <w:r>
        <w:rPr/>
        <w:t>The journal uses the American Psychological Association (APA) style for references and citations. References and in-text citations must follow the formatting guidelines of the 7</w:t>
      </w:r>
      <w:r>
        <w:rPr>
          <w:vertAlign w:val="superscript"/>
        </w:rPr>
        <w:t>th</w:t>
      </w:r>
      <w:r>
        <w:rPr/>
        <w:t xml:space="preserve"> edition of the American Psychological Association (APA) style guide (Table 2).</w:t>
      </w:r>
    </w:p>
    <w:tbl>
      <w:tblPr>
        <w:tblStyle w:val="Grilledutableau"/>
        <w:tblW w:w="680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6"/>
        <w:gridCol w:w="3688"/>
      </w:tblGrid>
      <w:tr>
        <w:trPr/>
        <w:tc>
          <w:tcPr>
            <w:tcW w:w="3116" w:type="dxa"/>
            <w:tcBorders>
              <w:top w:val="single" w:sz="8" w:space="0" w:color="000000"/>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Basic citation</w:t>
            </w:r>
          </w:p>
        </w:tc>
        <w:tc>
          <w:tcPr>
            <w:tcW w:w="3688" w:type="dxa"/>
            <w:tcBorders>
              <w:top w:val="single" w:sz="8" w:space="0" w:color="000000"/>
              <w:start w:val="nil"/>
              <w:end w:val="nil"/>
            </w:tcBorders>
            <w:shd w:color="auto" w:fill="F2F2F2" w:themeFill="background1" w:themeFillShade="f2" w:val="clear"/>
            <w:vAlign w:val="center"/>
          </w:tcPr>
          <w:p>
            <w:pPr>
              <w:pStyle w:val="PRsmall"/>
              <w:widowControl/>
              <w:suppressAutoHyphens w:val="true"/>
              <w:spacing w:before="0" w:after="0"/>
              <w:rPr>
                <w:vertAlign w:val="subscript"/>
              </w:rPr>
            </w:pPr>
            <w:r>
              <w:rPr>
                <w:rFonts w:eastAsia="Aptos" w:cs=""/>
                <w:kern w:val="2"/>
                <w:lang w:val="en-US" w:eastAsia="en-US" w:bidi="ar-SA"/>
              </w:rPr>
              <w:t>Lesk and Kernighan, 1977</w:t>
            </w:r>
          </w:p>
        </w:tc>
      </w:tr>
      <w:tr>
        <w:trPr/>
        <w:tc>
          <w:tcPr>
            <w:tcW w:w="3116"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With prefix note</w:t>
            </w:r>
          </w:p>
        </w:tc>
        <w:tc>
          <w:tcPr>
            <w:tcW w:w="3688" w:type="dxa"/>
            <w:tcBorders>
              <w:start w:val="nil"/>
              <w:end w:val="nil"/>
            </w:tcBorders>
            <w:shd w:color="auto" w:fill="F2F2F2" w:themeFill="background1" w:themeFillShade="f2" w:val="clear"/>
            <w:vAlign w:val="center"/>
          </w:tcPr>
          <w:p>
            <w:pPr>
              <w:pStyle w:val="PRsmall"/>
              <w:widowControl/>
              <w:suppressAutoHyphens w:val="true"/>
              <w:spacing w:before="0" w:after="0"/>
              <w:rPr>
                <w:vertAlign w:val="subscript"/>
              </w:rPr>
            </w:pPr>
            <w:r>
              <w:rPr>
                <w:rFonts w:eastAsia="Aptos" w:cs=""/>
                <w:kern w:val="2"/>
                <w:lang w:val="en-US" w:eastAsia="en-US" w:bidi="ar-SA"/>
              </w:rPr>
              <w:t>i.e., Lesk and Kernighan, 1977</w:t>
            </w:r>
          </w:p>
        </w:tc>
      </w:tr>
      <w:tr>
        <w:trPr/>
        <w:tc>
          <w:tcPr>
            <w:tcW w:w="3116"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Textual citation (author in text)</w:t>
            </w:r>
          </w:p>
        </w:tc>
        <w:tc>
          <w:tcPr>
            <w:tcW w:w="3688"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Lesk and Kernighan (1977)</w:t>
            </w:r>
          </w:p>
        </w:tc>
      </w:tr>
      <w:tr>
        <w:trPr/>
        <w:tc>
          <w:tcPr>
            <w:tcW w:w="3116"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Parenthetical citation</w:t>
            </w:r>
          </w:p>
        </w:tc>
        <w:tc>
          <w:tcPr>
            <w:tcW w:w="3688" w:type="dxa"/>
            <w:tcBorders>
              <w:start w:val="nil"/>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(Lesk and Kernighan, 1977)</w:t>
            </w:r>
          </w:p>
        </w:tc>
      </w:tr>
      <w:tr>
        <w:trPr/>
        <w:tc>
          <w:tcPr>
            <w:tcW w:w="3116" w:type="dxa"/>
            <w:tcBorders>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Multiple references</w:t>
            </w:r>
          </w:p>
        </w:tc>
        <w:tc>
          <w:tcPr>
            <w:tcW w:w="3688" w:type="dxa"/>
            <w:tcBorders>
              <w:start w:val="nil"/>
              <w:bottom w:val="single" w:sz="8" w:space="0" w:color="000000"/>
              <w:end w:val="nil"/>
            </w:tcBorders>
            <w:shd w:color="auto" w:fill="F2F2F2" w:themeFill="background1" w:themeFillShade="f2" w:val="clear"/>
            <w:vAlign w:val="center"/>
          </w:tcPr>
          <w:p>
            <w:pPr>
              <w:pStyle w:val="PRsmall"/>
              <w:widowControl/>
              <w:suppressAutoHyphens w:val="true"/>
              <w:spacing w:before="0" w:after="0"/>
              <w:rPr>
                <w:rFonts w:ascii="Aptos" w:hAnsi="Aptos" w:eastAsia="Aptos" w:cs=""/>
                <w:kern w:val="2"/>
                <w:lang w:val="en-US" w:eastAsia="en-US" w:bidi="ar-SA"/>
              </w:rPr>
            </w:pPr>
            <w:r>
              <w:rPr>
                <w:rFonts w:eastAsia="Aptos" w:cs=""/>
                <w:kern w:val="2"/>
                <w:lang w:val="en-US" w:eastAsia="en-US" w:bidi="ar-SA"/>
              </w:rPr>
              <w:t>Knuth, 1984; Lesk and Kernighan, 1977</w:t>
            </w:r>
          </w:p>
        </w:tc>
      </w:tr>
    </w:tbl>
    <w:p>
      <w:pPr>
        <w:pStyle w:val="PRcaption"/>
        <w:rPr/>
      </w:pPr>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r>
        <w:rPr/>
        <w:t>. Citation format examples</w:t>
      </w:r>
    </w:p>
    <w:p>
      <w:pPr>
        <w:pStyle w:val="PRmain"/>
        <w:rPr/>
      </w:pPr>
      <w:r>
        <w:rPr/>
        <w:t>For accurate and consistent references, we recommend the use of bibliography software, such as Zotero or Reference Manager. Each reference should be listed in alphabetic order in the References sections at the end of the manuscript and must contain a persistent identifier (such as a DOI) when one is available.</w:t>
      </w:r>
    </w:p>
    <w:p>
      <w:pPr>
        <w:pStyle w:val="PRheading2"/>
        <w:numPr>
          <w:ilvl w:val="1"/>
          <w:numId w:val="1"/>
        </w:numPr>
        <w:rPr/>
      </w:pPr>
      <w:r>
        <w:rPr/>
        <w:t>Equations</w:t>
      </w:r>
    </w:p>
    <w:p>
      <w:pPr>
        <w:pStyle w:val="PRmain"/>
        <w:rPr/>
      </w:pPr>
      <w:r>
        <w:rPr/>
        <w:t xml:space="preserve">Equations can be displayed inline or formatted using equation blocks. Here we demonstrate a few complicated cases involving elastic deformation. For a perfectly elastic medium, </w:t>
      </w:r>
      <w:r>
        <w:rPr/>
      </w:r>
      <m:oMath xmlns:m="http://schemas.openxmlformats.org/officeDocument/2006/math">
        <m:sSup>
          <m:e>
            <m:r>
              <m:t xml:space="preserve">σ</m:t>
            </m:r>
          </m:e>
          <m:sup>
            <m:r>
              <m:t xml:space="preserve">ij</m:t>
            </m:r>
          </m:sup>
        </m:sSup>
        <m:d>
          <m:dPr>
            <m:begChr m:val="("/>
            <m:endChr m:val=")"/>
          </m:dPr>
          <m:e>
            <m:r>
              <m:t xml:space="preserve">x</m:t>
            </m:r>
            <m:r>
              <m:t xml:space="preserve">,</m:t>
            </m:r>
            <m:r>
              <m:t xml:space="preserve">t</m:t>
            </m:r>
          </m:e>
        </m:d>
      </m:oMath>
      <w:r>
        <w:rPr>
          <w:rFonts w:eastAsia="" w:eastAsiaTheme="minorEastAsia"/>
        </w:rPr>
        <w:t xml:space="preserve"> </w:t>
      </w:r>
      <w:r>
        <w:rPr/>
        <w:t xml:space="preserve">and </w:t>
      </w:r>
      <w:r>
        <w:rPr/>
      </w:r>
      <m:oMath xmlns:m="http://schemas.openxmlformats.org/officeDocument/2006/math">
        <m:sSup>
          <m:e>
            <m:r>
              <m:t xml:space="preserve">ε</m:t>
            </m:r>
          </m:e>
          <m:sup>
            <m:r>
              <m:t xml:space="preserve">ij</m:t>
            </m:r>
          </m:sup>
        </m:sSup>
        <m:d>
          <m:dPr>
            <m:begChr m:val="("/>
            <m:endChr m:val=")"/>
          </m:dPr>
          <m:e>
            <m:r>
              <m:t xml:space="preserve">x</m:t>
            </m:r>
            <m:r>
              <m:t xml:space="preserve">,</m:t>
            </m:r>
            <m:r>
              <m:t xml:space="preserve">t</m:t>
            </m:r>
          </m:e>
        </m:d>
      </m:oMath>
      <w:r>
        <w:rPr/>
        <w:t xml:space="preserve"> denote, respectively, the </w:t>
      </w:r>
      <w:r>
        <w:rPr/>
      </w:r>
      <m:oMath xmlns:m="http://schemas.openxmlformats.org/officeDocument/2006/math">
        <m:r>
          <m:rPr>
            <m:lit/>
            <m:nor/>
          </m:rPr>
          <m:t xml:space="preserve">{</m:t>
        </m:r>
        <m:r>
          <m:t xml:space="preserve">i</m:t>
        </m:r>
        <m:r>
          <m:t xml:space="preserve">,</m:t>
        </m:r>
        <m:r>
          <m:t xml:space="preserve">j</m:t>
        </m:r>
        <m:r>
          <m:rPr>
            <m:lit/>
            <m:nor/>
          </m:rPr>
          <m:t xml:space="preserve">}</m:t>
        </m:r>
      </m:oMath>
      <w:r>
        <w:rPr/>
        <w:t xml:space="preserve"> components of the stress and strain at the point </w:t>
      </w:r>
      <w:r>
        <w:rPr/>
      </w:r>
      <m:oMath xmlns:m="http://schemas.openxmlformats.org/officeDocument/2006/math">
        <m:r>
          <m:t xml:space="preserve">x</m:t>
        </m:r>
      </m:oMath>
      <w:r>
        <w:rPr/>
        <w:t xml:space="preserve"> and at time </w:t>
      </w:r>
      <w:r>
        <w:rPr/>
      </w:r>
      <m:oMath xmlns:m="http://schemas.openxmlformats.org/officeDocument/2006/math">
        <m:r>
          <m:t xml:space="preserve">t</m:t>
        </m:r>
      </m:oMath>
      <w:r>
        <w:rPr/>
        <w:t>. For small deformations we can write, to first order,</w:t>
      </w:r>
    </w:p>
    <w:tbl>
      <w:tblPr>
        <w:tblStyle w:val="Grilledutableau"/>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516"/>
        <w:gridCol w:w="844"/>
      </w:tblGrid>
      <w:tr>
        <w:trPr/>
        <w:tc>
          <w:tcPr>
            <w:tcW w:w="8516" w:type="dxa"/>
            <w:tcBorders>
              <w:top w:val="nil"/>
              <w:start w:val="nil"/>
              <w:bottom w:val="nil"/>
              <w:end w:val="nil"/>
            </w:tcBorders>
            <w:vAlign w:val="center"/>
          </w:tcPr>
          <w:p>
            <w:pPr>
              <w:pStyle w:val="PRmain"/>
              <w:widowControl/>
              <w:suppressAutoHyphens w:val="true"/>
              <w:spacing w:before="0" w:after="240"/>
              <w:jc w:val="center"/>
              <w:rPr>
                <w:rFonts w:ascii="Aptos" w:hAnsi="Aptos" w:eastAsia="Aptos" w:cs=""/>
                <w:kern w:val="2"/>
                <w:lang w:val="en-US" w:eastAsia="en-US" w:bidi="ar-SA"/>
              </w:rPr>
            </w:pPr>
            <w:r>
              <w:rPr/>
            </w:r>
            <m:oMathPara xmlns:m="http://schemas.openxmlformats.org/officeDocument/2006/math">
              <m:oMathParaPr>
                <m:jc m:val="center"/>
              </m:oMathParaPr>
              <m:oMath>
                <m:sSup>
                  <m:e>
                    <m:r>
                      <m:t xml:space="preserve">σ</m:t>
                    </m:r>
                  </m:e>
                  <m:sup>
                    <m:r>
                      <m:t xml:space="preserve">ij</m:t>
                    </m:r>
                  </m:sup>
                </m:sSup>
                <m:d>
                  <m:dPr>
                    <m:begChr m:val="("/>
                    <m:endChr m:val=")"/>
                  </m:dPr>
                  <m:e>
                    <m:r>
                      <m:t xml:space="preserve">x</m:t>
                    </m:r>
                    <m:r>
                      <m:t xml:space="preserve">,</m:t>
                    </m:r>
                    <m:r>
                      <m:t xml:space="preserve">t</m:t>
                    </m:r>
                  </m:e>
                </m:d>
                <m:r>
                  <m:rPr>
                    <m:lit/>
                    <m:nor/>
                  </m:rPr>
                  <m:t xml:space="preserve">=</m:t>
                </m:r>
                <m:sSubSup>
                  <m:e>
                    <m:r>
                      <m:t xml:space="preserve">σ</m:t>
                    </m:r>
                  </m:e>
                  <m:sub>
                    <m:r>
                      <m:t xml:space="preserve">0</m:t>
                    </m:r>
                  </m:sub>
                  <m:sup>
                    <m:r>
                      <m:t xml:space="preserve">ij</m:t>
                    </m:r>
                  </m:sup>
                </m:sSubSup>
                <m:d>
                  <m:dPr>
                    <m:begChr m:val="("/>
                    <m:endChr m:val=")"/>
                  </m:dPr>
                  <m:e>
                    <m:r>
                      <m:t xml:space="preserve">x</m:t>
                    </m:r>
                    <m:r>
                      <m:t xml:space="preserve">,</m:t>
                    </m:r>
                    <m:r>
                      <m:t xml:space="preserve">t</m:t>
                    </m:r>
                  </m:e>
                </m:d>
                <m:r>
                  <m:rPr>
                    <m:lit/>
                    <m:nor/>
                  </m:rPr>
                  <m:t xml:space="preserve">+</m:t>
                </m:r>
                <m:sSubSup>
                  <m:e>
                    <m:r>
                      <m:t xml:space="preserve">c</m:t>
                    </m:r>
                  </m:e>
                  <m:sub>
                    <m:r>
                      <m:t xml:space="preserve">0</m:t>
                    </m:r>
                  </m:sub>
                  <m:sup>
                    <m:r>
                      <m:t xml:space="preserve">ijkl</m:t>
                    </m:r>
                  </m:sup>
                </m:sSubSup>
                <m:d>
                  <m:dPr>
                    <m:begChr m:val="("/>
                    <m:endChr m:val=")"/>
                  </m:dPr>
                  <m:e>
                    <m:r>
                      <m:t xml:space="preserve">x</m:t>
                    </m:r>
                  </m:e>
                </m:d>
                <m:sSup>
                  <m:e>
                    <m:r>
                      <m:t xml:space="preserve">ε</m:t>
                    </m:r>
                  </m:e>
                  <m:sup>
                    <m:r>
                      <m:t xml:space="preserve">kl</m:t>
                    </m:r>
                  </m:sup>
                </m:sSup>
                <m:d>
                  <m:dPr>
                    <m:begChr m:val="("/>
                    <m:endChr m:val=")"/>
                  </m:dPr>
                  <m:e>
                    <m:r>
                      <m:t xml:space="preserve">x</m:t>
                    </m:r>
                    <m:r>
                      <m:t xml:space="preserve">,</m:t>
                    </m:r>
                    <m:r>
                      <m:t xml:space="preserve">t</m:t>
                    </m:r>
                  </m:e>
                </m:d>
                <m:r>
                  <m:t xml:space="preserve">,</m:t>
                </m:r>
              </m:oMath>
            </m:oMathPara>
          </w:p>
        </w:tc>
        <w:tc>
          <w:tcPr>
            <w:tcW w:w="844" w:type="dxa"/>
            <w:tcBorders>
              <w:top w:val="nil"/>
              <w:start w:val="nil"/>
              <w:bottom w:val="nil"/>
              <w:end w:val="nil"/>
            </w:tcBorders>
            <w:vAlign w:val="center"/>
          </w:tcPr>
          <w:p>
            <w:pPr>
              <w:pStyle w:val="PRmain"/>
              <w:widowControl/>
              <w:suppressAutoHyphens w:val="true"/>
              <w:spacing w:before="0" w:after="240"/>
              <w:rPr>
                <w:rFonts w:ascii="Aptos" w:hAnsi="Aptos" w:eastAsia="Aptos" w:cs=""/>
                <w:kern w:val="2"/>
                <w:lang w:val="en-US" w:eastAsia="en-US" w:bidi="ar-SA"/>
              </w:rPr>
            </w:pPr>
            <w:r>
              <w:rPr>
                <w:rFonts w:eastAsia="Aptos" w:cs=""/>
                <w:kern w:val="2"/>
                <w:lang w:val="en-US" w:eastAsia="en-US" w:bidi="ar-SA"/>
              </w:rPr>
              <w:t>(1)</w:t>
            </w:r>
          </w:p>
        </w:tc>
      </w:tr>
    </w:tbl>
    <w:p>
      <w:pPr>
        <w:pStyle w:val="PRmain"/>
        <w:rPr/>
      </w:pPr>
      <w:r>
        <w:rPr/>
        <w:t xml:space="preserve">where the term </w:t>
      </w:r>
      <w:r>
        <w:rPr/>
      </w:r>
      <m:oMath xmlns:m="http://schemas.openxmlformats.org/officeDocument/2006/math">
        <m:sSubSup>
          <m:e>
            <m:r>
              <m:t xml:space="preserve">σ</m:t>
            </m:r>
          </m:e>
          <m:sub>
            <m:r>
              <m:t xml:space="preserve">0</m:t>
            </m:r>
          </m:sub>
          <m:sup>
            <m:r>
              <m:t xml:space="preserve">ij</m:t>
            </m:r>
          </m:sup>
        </m:sSubSup>
        <m:d>
          <m:dPr>
            <m:begChr m:val="("/>
            <m:endChr m:val=")"/>
          </m:dPr>
          <m:e>
            <m:r>
              <m:t xml:space="preserve">x</m:t>
            </m:r>
            <m:r>
              <m:t xml:space="preserve">,</m:t>
            </m:r>
            <m:r>
              <m:t xml:space="preserve">t</m:t>
            </m:r>
          </m:e>
        </m:d>
      </m:oMath>
      <w:r>
        <w:rPr/>
        <w:t xml:space="preserve"> is called the pre-stress, and the coefficients </w:t>
      </w:r>
      <w:r>
        <w:rPr/>
      </w:r>
      <m:oMath xmlns:m="http://schemas.openxmlformats.org/officeDocument/2006/math">
        <m:sSubSup>
          <m:e>
            <m:r>
              <m:t xml:space="preserve">c</m:t>
            </m:r>
          </m:e>
          <m:sub>
            <m:r>
              <m:t xml:space="preserve">0</m:t>
            </m:r>
          </m:sub>
          <m:sup>
            <m:r>
              <m:t xml:space="preserve">ijkl</m:t>
            </m:r>
          </m:sup>
        </m:sSubSup>
        <m:d>
          <m:dPr>
            <m:begChr m:val="("/>
            <m:endChr m:val=")"/>
          </m:dPr>
          <m:e>
            <m:r>
              <m:t xml:space="preserve">x</m:t>
            </m:r>
          </m:e>
        </m:d>
      </m:oMath>
      <w:r>
        <w:rPr/>
        <w:t xml:space="preserve">  are the elastic constants. Equation (1) represents what is known as </w:t>
      </w:r>
      <w:r>
        <w:rPr>
          <w:i/>
          <w:iCs/>
        </w:rPr>
        <w:t>Hooke’s law</w:t>
      </w:r>
      <w:r>
        <w:rPr/>
        <w:t>. We recommend calling equations by Equation (1) instead of Eq. (1).</w:t>
      </w:r>
    </w:p>
    <w:p>
      <w:pPr>
        <w:pStyle w:val="PRORStitle"/>
        <w:ind w:hanging="0" w:start="0"/>
        <w:rPr/>
      </w:pPr>
      <w:r>
        <w:rPr/>
        <w:t>Open Science Statements</w:t>
      </w:r>
    </w:p>
    <w:p>
      <w:pPr>
        <w:pStyle w:val="PRORSsections"/>
        <w:rPr/>
      </w:pPr>
      <w:r>
        <w:rPr/>
        <w:t>Acknowledgments</w:t>
      </w:r>
    </w:p>
    <w:p>
      <w:pPr>
        <w:pStyle w:val="PRORSmain"/>
        <w:rPr/>
      </w:pPr>
      <w:r>
        <w:rPr/>
        <w:t>Specify contributions that require acknowledgment but that do not warrant authorship. This may include acknowledgments of technical assistance, materials or financial support. When persons are mentioned in the acknowledgments, the corresponding author should request their permission to appear in the text.</w:t>
      </w:r>
    </w:p>
    <w:p>
      <w:pPr>
        <w:pStyle w:val="PRORSsections"/>
        <w:rPr/>
      </w:pPr>
      <w:r>
        <w:rPr/>
        <w:t>Author contributions</w:t>
      </w:r>
    </w:p>
    <w:p>
      <w:pPr>
        <w:pStyle w:val="PRORSmain"/>
        <w:rPr/>
      </w:pPr>
      <w:r>
        <w:rPr/>
        <w:t>List here the details of each of the author's contributions to the work using the Contributor Role Taxonomy (</w:t>
      </w:r>
      <w:hyperlink r:id="rId4">
        <w:r>
          <w:rPr>
            <w:rStyle w:val="Hyperlink"/>
          </w:rPr>
          <w:t>CRediT</w:t>
        </w:r>
      </w:hyperlink>
      <w:r>
        <w:rPr/>
        <w:t xml:space="preserve">). These roles include: Conceptualization, Data curation, Formal analysis, Funding acquisition, Investigation, Methodology, Project administration, Resources, Software, Supervision, Validation, Visualization, Writing (original draft), and Writing (review &amp; editing). Only those roles that are appropriate should be specified. These roles are summarized in the journal's </w:t>
      </w:r>
      <w:hyperlink r:id="rId5">
        <w:r>
          <w:rPr>
            <w:rStyle w:val="Hyperlink"/>
          </w:rPr>
          <w:t>authorship policies</w:t>
        </w:r>
      </w:hyperlink>
      <w:r>
        <w:rPr/>
        <w:t>.</w:t>
      </w:r>
    </w:p>
    <w:p>
      <w:pPr>
        <w:pStyle w:val="PRORSsections"/>
        <w:widowControl/>
        <w:bidi w:val="0"/>
        <w:spacing w:lineRule="auto" w:line="276"/>
        <w:jc w:val="both"/>
        <w:rPr>
          <w:sz w:val="24"/>
          <w:szCs w:val="36"/>
        </w:rPr>
      </w:pPr>
      <w:r>
        <w:rPr>
          <w:sz w:val="24"/>
          <w:szCs w:val="36"/>
        </w:rPr>
        <w:t>Code availability</w:t>
      </w:r>
    </w:p>
    <w:p>
      <w:pPr>
        <w:pStyle w:val="PRORSmain"/>
        <w:rPr/>
      </w:pPr>
      <w:r>
        <w:rPr/>
        <w:t xml:space="preserve">Numerical codes must both be findable and accessible according to </w:t>
      </w:r>
      <w:hyperlink r:id="rId6">
        <w:r>
          <w:rPr>
            <w:rStyle w:val="Hyperlink"/>
          </w:rPr>
          <w:t>FAIR principles</w:t>
        </w:r>
      </w:hyperlink>
      <w:r>
        <w:rPr/>
        <w:t xml:space="preserve">. Findable means that the code can be located using a persistent identifier, such as a software heritage identifier SWHID, an astrophysics source code library identifier ASCL, or a DOI. The conditions under which the code and software used in a manuscript can be accessed must be described either on the landing page of the code or in the code archive. If the code is restricted and requires credentials to be accessed, the exact conditions under which the credentials can be obtained should be provided. For further information, see the journal's </w:t>
      </w:r>
      <w:hyperlink r:id="rId7">
        <w:r>
          <w:rPr>
            <w:rStyle w:val="Hyperlink"/>
          </w:rPr>
          <w:t>Open Science policies</w:t>
        </w:r>
      </w:hyperlink>
      <w:r>
        <w:rPr/>
        <w:t>.</w:t>
      </w:r>
    </w:p>
    <w:p>
      <w:pPr>
        <w:pStyle w:val="PRORSsections"/>
        <w:widowControl/>
        <w:bidi w:val="0"/>
        <w:spacing w:lineRule="auto" w:line="276"/>
        <w:jc w:val="both"/>
        <w:rPr>
          <w:sz w:val="24"/>
          <w:szCs w:val="36"/>
        </w:rPr>
      </w:pPr>
      <w:r>
        <w:rPr>
          <w:sz w:val="24"/>
          <w:szCs w:val="36"/>
        </w:rPr>
        <w:t>Data availability</w:t>
      </w:r>
    </w:p>
    <w:p>
      <w:pPr>
        <w:pStyle w:val="PRORSmain"/>
        <w:rPr/>
      </w:pPr>
      <w:r>
        <w:rPr/>
        <w:t xml:space="preserve">Any data that were used or generated as part of the study and that are not found in the manuscript and supplement must be uploaded to a public data repository before the article is accepted for publication. The datasets and any accompanying metadata and documentation need to be made available to the reviewers during the peer-review process. For further information, see the journal's </w:t>
      </w:r>
      <w:hyperlink r:id="rId8">
        <w:r>
          <w:rPr>
            <w:rStyle w:val="Hyperlink"/>
          </w:rPr>
          <w:t>Open Science policies</w:t>
        </w:r>
      </w:hyperlink>
      <w:r>
        <w:rPr/>
        <w:t>.</w:t>
      </w:r>
    </w:p>
    <w:p>
      <w:pPr>
        <w:pStyle w:val="PRORSsections"/>
        <w:widowControl/>
        <w:bidi w:val="0"/>
        <w:spacing w:lineRule="auto" w:line="276"/>
        <w:jc w:val="both"/>
        <w:rPr>
          <w:sz w:val="24"/>
          <w:szCs w:val="36"/>
        </w:rPr>
      </w:pPr>
      <w:r>
        <w:rPr>
          <w:sz w:val="24"/>
          <w:szCs w:val="36"/>
        </w:rPr>
        <w:t>Funding</w:t>
      </w:r>
    </w:p>
    <w:p>
      <w:pPr>
        <w:pStyle w:val="PRORSmain"/>
        <w:rPr/>
      </w:pPr>
      <w:r>
        <w:rPr/>
        <w:t>All sources of funding for the work must be disclosed. For work funded by a research agency, the following information must be provided: The name of the funding agency, the name of the funding program, the title of the funded project, and the grant number or funding reference.</w:t>
      </w:r>
    </w:p>
    <w:p>
      <w:pPr>
        <w:pStyle w:val="PRORSsections"/>
        <w:rPr/>
      </w:pPr>
      <w:r>
        <w:rPr/>
        <w:t>Competing interests</w:t>
      </w:r>
    </w:p>
    <w:p>
      <w:pPr>
        <w:pStyle w:val="PRORSmain"/>
        <w:rPr>
          <w:rStyle w:val="BookTitle"/>
        </w:rPr>
      </w:pPr>
      <w:r>
        <w:rPr>
          <w:rStyle w:val="BookTitle"/>
        </w:rPr>
        <w:t>All manuscripts must declare any real or perceived conflicts of interest. Competing interests may include both financial and non-financial interests such as past or present employment, consulting activity, financing, intellectual property, ownership of financial assets, or advisory roles. In the case where there are no competing interests, one can use the statement: The authors declare that they have no known competing financial interests or personal relationships that could have appeared to influence the work reported in this paper.</w:t>
      </w:r>
    </w:p>
    <w:p>
      <w:pPr>
        <w:pStyle w:val="PRORStitle"/>
        <w:ind w:hanging="0" w:start="0"/>
        <w:rPr/>
      </w:pPr>
      <w:r>
        <w:rPr/>
        <w:t>Appendix A</w:t>
      </w:r>
    </w:p>
    <w:p>
      <w:pPr>
        <w:pStyle w:val="PRmain"/>
        <w:rPr/>
      </w:pPr>
      <w:r>
        <w:rPr/>
        <w:t>Appendices are optional sections. Each table or figure in appendix should be labeled starting with the corresponding appendix letter (e.g., Table A1).</w:t>
      </w:r>
    </w:p>
    <w:p>
      <w:pPr>
        <w:pStyle w:val="PRORStitle"/>
        <w:ind w:hanging="0" w:start="0"/>
        <w:rPr/>
      </w:pPr>
      <w:r>
        <w:rPr/>
        <w:t>Appendix B</w:t>
      </w:r>
    </w:p>
    <w:p>
      <w:pPr>
        <w:pStyle w:val="PRORStitle"/>
        <w:ind w:hanging="0" w:start="0"/>
        <w:rPr/>
      </w:pPr>
      <w:r>
        <w:rPr/>
      </w:r>
    </w:p>
    <w:p>
      <w:pPr>
        <w:pStyle w:val="PRORStitle"/>
        <w:ind w:hanging="0" w:start="0"/>
        <w:rPr/>
      </w:pPr>
      <w:r>
        <w:rPr/>
        <w:t>References</w:t>
      </w:r>
    </w:p>
    <w:p>
      <w:pPr>
        <w:pStyle w:val="PRmain"/>
        <w:rPr/>
      </w:pPr>
      <w:r>
        <w:rPr/>
        <w:t xml:space="preserve">First author name, First author surname, Second author name, Second author surname and Third author name, Third author surname (year of publication). “Article Title”. In: </w:t>
      </w:r>
      <w:r>
        <w:rPr>
          <w:i/>
          <w:iCs/>
        </w:rPr>
        <w:t xml:space="preserve">Journal Name </w:t>
      </w:r>
      <w:r>
        <w:rPr/>
        <w:t>Volume, page range. DOI: doi of the publication.</w:t>
      </w:r>
    </w:p>
    <w:p>
      <w:pPr>
        <w:pStyle w:val="PRmain"/>
        <w:rPr/>
      </w:pPr>
      <w:r>
        <w:rPr/>
        <w:t xml:space="preserve">First author name, First author surname (year of conference). “Communication Title”. In: </w:t>
      </w:r>
      <w:r>
        <w:rPr>
          <w:i/>
          <w:iCs/>
        </w:rPr>
        <w:t>Name of conference</w:t>
      </w:r>
      <w:r>
        <w:rPr/>
        <w:t>. City, Country of conference, page range when available.</w:t>
      </w:r>
    </w:p>
    <w:p>
      <w:pPr>
        <w:pStyle w:val="PRmain"/>
        <w:rPr/>
      </w:pPr>
      <w:r>
        <w:rPr/>
        <w:t xml:space="preserve">First author name, First author surname (year of publication). “Title of the chapter”. In: </w:t>
      </w:r>
      <w:r>
        <w:rPr>
          <w:i/>
          <w:iCs/>
        </w:rPr>
        <w:t>Book Title</w:t>
      </w:r>
      <w:r>
        <w:rPr/>
        <w:t>. Edition number (1</w:t>
      </w:r>
      <w:r>
        <w:rPr>
          <w:vertAlign w:val="superscript"/>
        </w:rPr>
        <w:t>st</w:t>
      </w:r>
      <w:r>
        <w:rPr/>
        <w:t>, 2</w:t>
      </w:r>
      <w:r>
        <w:rPr>
          <w:vertAlign w:val="superscript"/>
        </w:rPr>
        <w:t>nd</w:t>
      </w:r>
      <w:r>
        <w:rPr/>
        <w:t>, …) ed. Publisher.</w:t>
      </w:r>
    </w:p>
    <w:p>
      <w:pPr>
        <w:pStyle w:val="PRmain"/>
        <w:rPr/>
      </w:pPr>
      <w:r>
        <w:rPr/>
        <w:t xml:space="preserve">First author name, First author surname (year of publication). </w:t>
      </w:r>
      <w:r>
        <w:rPr>
          <w:i/>
          <w:iCs/>
        </w:rPr>
        <w:t>Book Title</w:t>
      </w:r>
      <w:r>
        <w:rPr/>
        <w:t>. Edition number (1</w:t>
      </w:r>
      <w:r>
        <w:rPr>
          <w:vertAlign w:val="superscript"/>
        </w:rPr>
        <w:t>st</w:t>
      </w:r>
      <w:r>
        <w:rPr/>
        <w:t>, 2</w:t>
      </w:r>
      <w:r>
        <w:rPr>
          <w:vertAlign w:val="superscript"/>
        </w:rPr>
        <w:t>nd</w:t>
      </w:r>
      <w:r>
        <w:rPr/>
        <w:t>, …) ed. Publisher.</w:t>
      </w:r>
    </w:p>
    <w:p>
      <w:pPr>
        <w:pStyle w:val="PRmain"/>
        <w:spacing w:lineRule="auto" w:line="276" w:before="0" w:after="240"/>
        <w:ind w:firstLine="357"/>
        <w:jc w:val="both"/>
        <w:rPr/>
      </w:pPr>
      <w:r>
        <w:rPr/>
        <w:t>Title of website. Available online: URL (accessed on Month Day, Year)</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09" w:top="1440" w:footer="709" w:bottom="1440"/>
      <w:lnNumType w:countBy="1" w:restart="continuous" w:distance="28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03933395"/>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t xml:space="preserve">Manuscript submitted for peer-review in </w:t>
    </w:r>
    <w:r>
      <w:rPr>
        <w:i/>
        <w:iCs/>
      </w:rPr>
      <w:t>Planetary Research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57" w:hanging="357"/>
      </w:pPr>
      <w:rPr/>
    </w:lvl>
    <w:lvl w:ilvl="1">
      <w:start w:val="1"/>
      <w:numFmt w:val="decimal"/>
      <w:lvlText w:val="%1.%2."/>
      <w:lvlJc w:val="start"/>
      <w:pPr>
        <w:tabs>
          <w:tab w:val="num" w:pos="0"/>
        </w:tabs>
        <w:ind w:start="357" w:hanging="357"/>
      </w:pPr>
      <w:rPr/>
    </w:lvl>
    <w:lvl w:ilvl="2">
      <w:start w:val="1"/>
      <w:numFmt w:val="decimal"/>
      <w:lvlText w:val="%1.%2.%3."/>
      <w:lvlJc w:val="start"/>
      <w:pPr>
        <w:tabs>
          <w:tab w:val="num" w:pos="0"/>
        </w:tabs>
        <w:ind w:start="357" w:hanging="357"/>
      </w:pPr>
      <w:rPr/>
    </w:lvl>
    <w:lvl w:ilvl="3">
      <w:start w:val="1"/>
      <w:numFmt w:val="decimal"/>
      <w:lvlText w:val="%1.%2.%3.%4."/>
      <w:lvlJc w:val="start"/>
      <w:pPr>
        <w:tabs>
          <w:tab w:val="num" w:pos="0"/>
        </w:tabs>
        <w:ind w:start="357" w:hanging="357"/>
      </w:pPr>
      <w:rPr/>
    </w:lvl>
    <w:lvl w:ilvl="4">
      <w:start w:val="1"/>
      <w:numFmt w:val="decimal"/>
      <w:lvlText w:val="%1.%2.%3.%4.%5."/>
      <w:lvlJc w:val="start"/>
      <w:pPr>
        <w:tabs>
          <w:tab w:val="num" w:pos="0"/>
        </w:tabs>
        <w:ind w:start="357" w:hanging="357"/>
      </w:pPr>
      <w:rPr/>
    </w:lvl>
    <w:lvl w:ilvl="5">
      <w:start w:val="1"/>
      <w:numFmt w:val="decimal"/>
      <w:lvlText w:val="%1.%2.%3.%4.%5.%6."/>
      <w:lvlJc w:val="start"/>
      <w:pPr>
        <w:tabs>
          <w:tab w:val="num" w:pos="0"/>
        </w:tabs>
        <w:ind w:start="357" w:hanging="357"/>
      </w:pPr>
      <w:rPr/>
    </w:lvl>
    <w:lvl w:ilvl="6">
      <w:start w:val="1"/>
      <w:numFmt w:val="decimal"/>
      <w:lvlText w:val="%1.%2.%3.%4.%5.%6.%7."/>
      <w:lvlJc w:val="start"/>
      <w:pPr>
        <w:tabs>
          <w:tab w:val="num" w:pos="0"/>
        </w:tabs>
        <w:ind w:start="357" w:hanging="357"/>
      </w:pPr>
      <w:rPr/>
    </w:lvl>
    <w:lvl w:ilvl="7">
      <w:start w:val="1"/>
      <w:numFmt w:val="decimal"/>
      <w:lvlText w:val="%1.%2.%3.%4.%5.%6.%7.%8."/>
      <w:lvlJc w:val="start"/>
      <w:pPr>
        <w:tabs>
          <w:tab w:val="num" w:pos="0"/>
        </w:tabs>
        <w:ind w:start="357" w:hanging="357"/>
      </w:pPr>
      <w:rPr/>
    </w:lvl>
    <w:lvl w:ilvl="8">
      <w:start w:val="1"/>
      <w:numFmt w:val="decimal"/>
      <w:lvlText w:val="%1.%2.%3.%4.%5.%6.%7.%8.%9."/>
      <w:lvlJc w:val="start"/>
      <w:pPr>
        <w:tabs>
          <w:tab w:val="num" w:pos="0"/>
        </w:tabs>
        <w:ind w:start="357" w:hanging="357"/>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01c"/>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18"/>
      <w:szCs w:val="24"/>
      <w:lang w:val="en-US" w:eastAsia="en-US" w:bidi="ar-SA"/>
      <w14:ligatures w14:val="standardContextual"/>
    </w:rPr>
  </w:style>
  <w:style w:type="paragraph" w:styleId="Heading1">
    <w:name w:val="heading 1"/>
    <w:basedOn w:val="Normal"/>
    <w:next w:val="Normal"/>
    <w:link w:val="Titre1Car"/>
    <w:uiPriority w:val="9"/>
    <w:qFormat/>
    <w:rsid w:val="004c5b6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4c5b6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4c5b6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4c5b6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4c5b6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4c5b6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4c5b6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4c5b6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4c5b6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4c5b6f"/>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4c5b6f"/>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4c5b6f"/>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4c5b6f"/>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4c5b6f"/>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4c5b6f"/>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4c5b6f"/>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4c5b6f"/>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4c5b6f"/>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4c5b6f"/>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4c5b6f"/>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4c5b6f"/>
    <w:rPr>
      <w:i/>
      <w:iCs/>
      <w:color w:themeColor="text1" w:themeTint="bf" w:val="404040"/>
    </w:rPr>
  </w:style>
  <w:style w:type="character" w:styleId="IntenseEmphasis">
    <w:name w:val="Intense Emphasis"/>
    <w:basedOn w:val="DefaultParagraphFont"/>
    <w:uiPriority w:val="21"/>
    <w:qFormat/>
    <w:rsid w:val="004c5b6f"/>
    <w:rPr>
      <w:i/>
      <w:iCs/>
      <w:color w:themeColor="accent1" w:themeShade="bf" w:val="0F4761"/>
    </w:rPr>
  </w:style>
  <w:style w:type="character" w:styleId="CitationintenseCar" w:customStyle="1">
    <w:name w:val="Citation intense Car"/>
    <w:basedOn w:val="DefaultParagraphFont"/>
    <w:link w:val="IntenseQuote"/>
    <w:uiPriority w:val="30"/>
    <w:qFormat/>
    <w:rsid w:val="004c5b6f"/>
    <w:rPr>
      <w:i/>
      <w:iCs/>
      <w:color w:themeColor="accent1" w:themeShade="bf" w:val="0F4761"/>
    </w:rPr>
  </w:style>
  <w:style w:type="character" w:styleId="IntenseReference">
    <w:name w:val="Intense Reference"/>
    <w:basedOn w:val="DefaultParagraphFont"/>
    <w:uiPriority w:val="32"/>
    <w:qFormat/>
    <w:rsid w:val="004c5b6f"/>
    <w:rPr>
      <w:b/>
      <w:bCs/>
      <w:smallCaps/>
      <w:color w:themeColor="accent1" w:themeShade="bf" w:val="0F4761"/>
      <w:spacing w:val="5"/>
    </w:rPr>
  </w:style>
  <w:style w:type="character" w:styleId="LineNumber">
    <w:name w:val="line number"/>
    <w:basedOn w:val="DefaultParagraphFont"/>
    <w:uiPriority w:val="99"/>
    <w:semiHidden/>
    <w:unhideWhenUsed/>
    <w:rsid w:val="007723db"/>
    <w:rPr/>
  </w:style>
  <w:style w:type="character" w:styleId="PRmainCar" w:customStyle="1">
    <w:name w:val="PR_main Car"/>
    <w:basedOn w:val="DefaultParagraphFont"/>
    <w:link w:val="PRmain"/>
    <w:qFormat/>
    <w:rsid w:val="008a3bc2"/>
    <w:rPr>
      <w:szCs w:val="36"/>
    </w:rPr>
  </w:style>
  <w:style w:type="character" w:styleId="PRtitleCar" w:customStyle="1">
    <w:name w:val="PR_title Car"/>
    <w:basedOn w:val="DefaultParagraphFont"/>
    <w:link w:val="PRtitle"/>
    <w:qFormat/>
    <w:rsid w:val="00857367"/>
    <w:rPr>
      <w:b/>
      <w:bCs/>
      <w:sz w:val="40"/>
      <w:szCs w:val="40"/>
    </w:rPr>
  </w:style>
  <w:style w:type="character" w:styleId="PRauthoraffiliationsCar" w:customStyle="1">
    <w:name w:val="PR_author_affiliations Car"/>
    <w:basedOn w:val="DefaultParagraphFont"/>
    <w:link w:val="PRauthoraffiliations"/>
    <w:qFormat/>
    <w:rsid w:val="00857367"/>
    <w:rPr>
      <w:sz w:val="20"/>
      <w:szCs w:val="20"/>
    </w:rPr>
  </w:style>
  <w:style w:type="character" w:styleId="PRauthorsCar" w:customStyle="1">
    <w:name w:val="PR_authors Car"/>
    <w:basedOn w:val="PRmainCar"/>
    <w:link w:val="PRauthors"/>
    <w:qFormat/>
    <w:rsid w:val="00857367"/>
    <w:rPr>
      <w:szCs w:val="36"/>
    </w:rPr>
  </w:style>
  <w:style w:type="character" w:styleId="PRsmallCar" w:customStyle="1">
    <w:name w:val="PR_small Car"/>
    <w:basedOn w:val="DefaultParagraphFont"/>
    <w:link w:val="PRsmall"/>
    <w:qFormat/>
    <w:rsid w:val="00857367"/>
    <w:rPr>
      <w:sz w:val="20"/>
      <w:szCs w:val="20"/>
    </w:rPr>
  </w:style>
  <w:style w:type="character" w:styleId="PRHeading1Car" w:customStyle="1">
    <w:name w:val="PR_Heading1 Car"/>
    <w:basedOn w:val="PRmainCar"/>
    <w:link w:val="PRHeading1"/>
    <w:qFormat/>
    <w:rsid w:val="0046280c"/>
    <w:rPr>
      <w:b/>
      <w:bCs/>
      <w:sz w:val="28"/>
      <w:szCs w:val="40"/>
    </w:rPr>
  </w:style>
  <w:style w:type="character" w:styleId="BookTitle">
    <w:name w:val="Book Title"/>
    <w:uiPriority w:val="33"/>
    <w:qFormat/>
    <w:rsid w:val="008b2074"/>
    <w:rPr/>
  </w:style>
  <w:style w:type="character" w:styleId="PieddepageCar" w:customStyle="1">
    <w:name w:val="Pied de page Car"/>
    <w:basedOn w:val="DefaultParagraphFont"/>
    <w:link w:val="Footer"/>
    <w:uiPriority w:val="99"/>
    <w:qFormat/>
    <w:rsid w:val="0097673d"/>
    <w:rPr>
      <w:sz w:val="18"/>
    </w:rPr>
  </w:style>
  <w:style w:type="character" w:styleId="PRabstracttitleCar" w:customStyle="1">
    <w:name w:val="PR_abstract_title Car"/>
    <w:basedOn w:val="PRHeading1Car"/>
    <w:link w:val="PRabstracttitle"/>
    <w:qFormat/>
    <w:rsid w:val="00121f41"/>
    <w:rPr>
      <w:b/>
      <w:bCs/>
      <w:sz w:val="28"/>
      <w:szCs w:val="40"/>
    </w:rPr>
  </w:style>
  <w:style w:type="character" w:styleId="PRheading2Car" w:customStyle="1">
    <w:name w:val="PR_heading2 Car"/>
    <w:basedOn w:val="PRmainCar"/>
    <w:link w:val="PRheading2"/>
    <w:qFormat/>
    <w:rsid w:val="00635bdd"/>
    <w:rPr>
      <w:b/>
      <w:bCs/>
      <w:szCs w:val="36"/>
    </w:rPr>
  </w:style>
  <w:style w:type="character" w:styleId="PRheading3Car" w:customStyle="1">
    <w:name w:val="PR_heading3 Car"/>
    <w:basedOn w:val="PRheading2Car"/>
    <w:link w:val="PRheading3"/>
    <w:qFormat/>
    <w:rsid w:val="003a609c"/>
    <w:rPr>
      <w:b w:val="false"/>
      <w:bCs w:val="false"/>
      <w:i/>
      <w:iCs/>
      <w:szCs w:val="36"/>
    </w:rPr>
  </w:style>
  <w:style w:type="character" w:styleId="PlaceholderText">
    <w:name w:val="Placeholder Text"/>
    <w:basedOn w:val="DefaultParagraphFont"/>
    <w:uiPriority w:val="99"/>
    <w:semiHidden/>
    <w:qFormat/>
    <w:rsid w:val="00073d6a"/>
    <w:rPr>
      <w:color w:val="666666"/>
    </w:rPr>
  </w:style>
  <w:style w:type="character" w:styleId="PRORStitleCar" w:customStyle="1">
    <w:name w:val="PR_ORS_title Car"/>
    <w:basedOn w:val="PRabstracttitleCar"/>
    <w:link w:val="PRORStitle"/>
    <w:qFormat/>
    <w:rsid w:val="00f16cec"/>
    <w:rPr>
      <w:b/>
      <w:bCs/>
      <w:sz w:val="28"/>
      <w:szCs w:val="40"/>
    </w:rPr>
  </w:style>
  <w:style w:type="character" w:styleId="PRHeading2unnumberedCar" w:customStyle="1">
    <w:name w:val="PR_Heading2_unnumbered Car"/>
    <w:basedOn w:val="PRmainCar"/>
    <w:link w:val="PRHeading2unnumbered"/>
    <w:qFormat/>
    <w:rsid w:val="009b231e"/>
    <w:rPr>
      <w:b/>
      <w:bCs/>
      <w:szCs w:val="36"/>
    </w:rPr>
  </w:style>
  <w:style w:type="character" w:styleId="Hyperlink">
    <w:name w:val="Hyperlink"/>
    <w:basedOn w:val="DefaultParagraphFont"/>
    <w:uiPriority w:val="99"/>
    <w:unhideWhenUsed/>
    <w:rsid w:val="00950d9f"/>
    <w:rPr>
      <w:color w:themeColor="hyperlink" w:val="467886"/>
      <w:u w:val="single"/>
    </w:rPr>
  </w:style>
  <w:style w:type="character" w:styleId="UnresolvedMention">
    <w:name w:val="Unresolved Mention"/>
    <w:basedOn w:val="DefaultParagraphFont"/>
    <w:uiPriority w:val="99"/>
    <w:semiHidden/>
    <w:unhideWhenUsed/>
    <w:qFormat/>
    <w:rsid w:val="00950d9f"/>
    <w:rPr>
      <w:color w:val="605E5C"/>
      <w:shd w:fill="E1DFDD" w:val="clear"/>
    </w:rPr>
  </w:style>
  <w:style w:type="character" w:styleId="PRORSsectionsCar" w:customStyle="1">
    <w:name w:val="PR_ORS_sections Car"/>
    <w:basedOn w:val="PRmainCar"/>
    <w:link w:val="PRORSsections"/>
    <w:qFormat/>
    <w:rsid w:val="00b56f81"/>
    <w:rPr>
      <w:b/>
      <w:bCs/>
      <w:szCs w:val="36"/>
    </w:rPr>
  </w:style>
  <w:style w:type="character" w:styleId="En-tteCar" w:customStyle="1">
    <w:name w:val="En-tête Car"/>
    <w:basedOn w:val="DefaultParagraphFont"/>
    <w:link w:val="Header"/>
    <w:uiPriority w:val="99"/>
    <w:qFormat/>
    <w:rsid w:val="003f71ab"/>
    <w:rPr>
      <w:sz w:val="18"/>
    </w:rPr>
  </w:style>
  <w:style w:type="character" w:styleId="PRabstractCar" w:customStyle="1">
    <w:name w:val="PR_abstract Car"/>
    <w:basedOn w:val="PRmainCar"/>
    <w:link w:val="PRabstract"/>
    <w:qFormat/>
    <w:rsid w:val="00121f41"/>
    <w:rPr>
      <w:szCs w:val="36"/>
    </w:rPr>
  </w:style>
  <w:style w:type="character" w:styleId="PRfrontpageCar" w:customStyle="1">
    <w:name w:val="PR_front_page Car"/>
    <w:basedOn w:val="PRmainCar"/>
    <w:link w:val="PRfrontpage"/>
    <w:qFormat/>
    <w:rsid w:val="00121f41"/>
    <w:rPr>
      <w:szCs w:val="36"/>
    </w:rPr>
  </w:style>
  <w:style w:type="character" w:styleId="LgendeCar" w:customStyle="1">
    <w:name w:val="Légende Car"/>
    <w:basedOn w:val="DefaultParagraphFont"/>
    <w:link w:val="Caption"/>
    <w:uiPriority w:val="35"/>
    <w:qFormat/>
    <w:rsid w:val="00047832"/>
    <w:rPr>
      <w:szCs w:val="36"/>
    </w:rPr>
  </w:style>
  <w:style w:type="character" w:styleId="PRcaptionCar" w:customStyle="1">
    <w:name w:val="PR_caption Car"/>
    <w:basedOn w:val="LgendeCar"/>
    <w:link w:val="PRcaption"/>
    <w:qFormat/>
    <w:rsid w:val="00047832"/>
    <w:rPr>
      <w:szCs w:val="36"/>
    </w:rPr>
  </w:style>
  <w:style w:type="character" w:styleId="PRORSmainCar" w:customStyle="1">
    <w:name w:val="PR_ORS_main Car"/>
    <w:basedOn w:val="PRmainCar"/>
    <w:link w:val="PRORSmain"/>
    <w:qFormat/>
    <w:rsid w:val="00f16cec"/>
    <w:rPr>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link w:val="LgendeCar"/>
    <w:uiPriority w:val="35"/>
    <w:unhideWhenUsed/>
    <w:qFormat/>
    <w:rsid w:val="00e71d8c"/>
    <w:pPr>
      <w:spacing w:lineRule="auto" w:line="240" w:before="0" w:after="200"/>
      <w:jc w:val="center"/>
    </w:pPr>
    <w:rPr>
      <w:sz w:val="24"/>
      <w:szCs w:val="36"/>
    </w:rPr>
  </w:style>
  <w:style w:type="paragraph" w:styleId="Index">
    <w:name w:val="Index"/>
    <w:basedOn w:val="Normal"/>
    <w:qFormat/>
    <w:pPr>
      <w:suppressLineNumbers/>
    </w:pPr>
    <w:rPr>
      <w:rFonts w:cs="Lohit Devanagari"/>
    </w:rPr>
  </w:style>
  <w:style w:type="paragraph" w:styleId="Title">
    <w:name w:val="Title"/>
    <w:basedOn w:val="Normal"/>
    <w:next w:val="Normal"/>
    <w:link w:val="TitreCar"/>
    <w:uiPriority w:val="10"/>
    <w:qFormat/>
    <w:rsid w:val="004c5b6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4c5b6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4c5b6f"/>
    <w:pPr>
      <w:spacing w:before="160" w:after="160"/>
      <w:jc w:val="center"/>
    </w:pPr>
    <w:rPr>
      <w:i/>
      <w:iCs/>
      <w:color w:themeColor="text1" w:themeTint="bf" w:val="404040"/>
    </w:rPr>
  </w:style>
  <w:style w:type="paragraph" w:styleId="ListParagraph">
    <w:name w:val="List Paragraph"/>
    <w:basedOn w:val="Normal"/>
    <w:uiPriority w:val="34"/>
    <w:qFormat/>
    <w:rsid w:val="004c5b6f"/>
    <w:pPr>
      <w:spacing w:before="0" w:after="160"/>
      <w:ind w:start="720"/>
      <w:contextualSpacing/>
    </w:pPr>
    <w:rPr/>
  </w:style>
  <w:style w:type="paragraph" w:styleId="IntenseQuote">
    <w:name w:val="Intense Quote"/>
    <w:basedOn w:val="Normal"/>
    <w:next w:val="Normal"/>
    <w:link w:val="CitationintenseCar"/>
    <w:uiPriority w:val="30"/>
    <w:qFormat/>
    <w:rsid w:val="004c5b6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main" w:customStyle="1">
    <w:name w:val="PR_main"/>
    <w:basedOn w:val="Normal"/>
    <w:link w:val="PRmainCar"/>
    <w:qFormat/>
    <w:rsid w:val="008a3bc2"/>
    <w:pPr>
      <w:spacing w:lineRule="auto" w:line="276" w:before="0" w:after="240"/>
      <w:ind w:firstLine="357"/>
      <w:jc w:val="both"/>
    </w:pPr>
    <w:rPr>
      <w:sz w:val="24"/>
      <w:szCs w:val="36"/>
    </w:rPr>
  </w:style>
  <w:style w:type="paragraph" w:styleId="PRtitle" w:customStyle="1">
    <w:name w:val="PR_title"/>
    <w:basedOn w:val="Normal"/>
    <w:link w:val="PRtitleCar"/>
    <w:qFormat/>
    <w:rsid w:val="00857367"/>
    <w:pPr>
      <w:spacing w:lineRule="auto" w:line="276" w:before="0" w:after="0"/>
      <w:jc w:val="center"/>
    </w:pPr>
    <w:rPr>
      <w:b/>
      <w:bCs/>
      <w:sz w:val="40"/>
      <w:szCs w:val="40"/>
    </w:rPr>
  </w:style>
  <w:style w:type="paragraph" w:styleId="PRauthoraffiliations" w:customStyle="1">
    <w:name w:val="PR_author_affiliations"/>
    <w:basedOn w:val="Normal"/>
    <w:link w:val="PRauthoraffiliationsCar"/>
    <w:qFormat/>
    <w:rsid w:val="00857367"/>
    <w:pPr>
      <w:spacing w:lineRule="auto" w:line="276" w:before="0" w:after="0"/>
      <w:jc w:val="center"/>
    </w:pPr>
    <w:rPr>
      <w:sz w:val="20"/>
      <w:szCs w:val="20"/>
    </w:rPr>
  </w:style>
  <w:style w:type="paragraph" w:styleId="PRauthors" w:customStyle="1">
    <w:name w:val="PR_authors"/>
    <w:basedOn w:val="PRmain"/>
    <w:link w:val="PRauthorsCar"/>
    <w:qFormat/>
    <w:rsid w:val="00857367"/>
    <w:pPr>
      <w:jc w:val="center"/>
    </w:pPr>
    <w:rPr/>
  </w:style>
  <w:style w:type="paragraph" w:styleId="PRsmall" w:customStyle="1">
    <w:name w:val="PR_small"/>
    <w:basedOn w:val="Normal"/>
    <w:link w:val="PRsmallCar"/>
    <w:qFormat/>
    <w:rsid w:val="00857367"/>
    <w:pPr>
      <w:spacing w:lineRule="auto" w:line="276" w:before="0" w:after="0"/>
      <w:jc w:val="center"/>
    </w:pPr>
    <w:rPr>
      <w:sz w:val="20"/>
      <w:szCs w:val="20"/>
    </w:rPr>
  </w:style>
  <w:style w:type="paragraph" w:styleId="PRHeading1" w:customStyle="1">
    <w:name w:val="PR_Heading1"/>
    <w:basedOn w:val="PRmain"/>
    <w:link w:val="PRHeading1Car"/>
    <w:qFormat/>
    <w:rsid w:val="0046280c"/>
    <w:pPr>
      <w:numPr>
        <w:ilvl w:val="0"/>
        <w:numId w:val="1"/>
      </w:numPr>
      <w:tabs>
        <w:tab w:val="clear" w:pos="720"/>
        <w:tab w:val="left" w:pos="426" w:leader="none"/>
      </w:tabs>
    </w:pPr>
    <w:rPr>
      <w:b/>
      <w:bCs/>
      <w:sz w:val="28"/>
      <w:szCs w:val="40"/>
    </w:rPr>
  </w:style>
  <w:style w:type="paragraph" w:styleId="PRORSsections" w:customStyle="1">
    <w:name w:val="PR_ORS_sections"/>
    <w:basedOn w:val="PRmain"/>
    <w:link w:val="PRORSsectionsCar"/>
    <w:qFormat/>
    <w:rsid w:val="00b56f81"/>
    <w:pPr>
      <w:spacing w:before="0" w:after="0"/>
      <w:ind w:hanging="0"/>
    </w:pPr>
    <w:rPr>
      <w:b/>
      <w:bCs/>
    </w:rPr>
  </w:style>
  <w:style w:type="paragraph" w:styleId="HeaderandFooter">
    <w:name w:val="Header and Footer"/>
    <w:basedOn w:val="Normal"/>
    <w:qFormat/>
    <w:pPr/>
    <w:rPr/>
  </w:style>
  <w:style w:type="paragraph" w:styleId="Footer">
    <w:name w:val="footer"/>
    <w:basedOn w:val="Normal"/>
    <w:link w:val="PieddepageCar"/>
    <w:uiPriority w:val="99"/>
    <w:unhideWhenUsed/>
    <w:rsid w:val="0097673d"/>
    <w:pPr>
      <w:suppressLineNumbers/>
      <w:tabs>
        <w:tab w:val="clear" w:pos="720"/>
        <w:tab w:val="center" w:pos="4680" w:leader="none"/>
        <w:tab w:val="right" w:pos="9360" w:leader="none"/>
      </w:tabs>
      <w:spacing w:lineRule="auto" w:line="240" w:before="0" w:after="0"/>
    </w:pPr>
    <w:rPr/>
  </w:style>
  <w:style w:type="paragraph" w:styleId="PRabstracttitle" w:customStyle="1">
    <w:name w:val="PR_abstract_title"/>
    <w:basedOn w:val="PRHeading1"/>
    <w:link w:val="PRabstracttitleCar"/>
    <w:qFormat/>
    <w:rsid w:val="00121f41"/>
    <w:pPr>
      <w:numPr>
        <w:ilvl w:val="0"/>
        <w:numId w:val="0"/>
      </w:numPr>
      <w:spacing w:before="0" w:after="0"/>
      <w:ind w:firstLine="357"/>
      <w:jc w:val="start"/>
    </w:pPr>
    <w:rPr/>
  </w:style>
  <w:style w:type="paragraph" w:styleId="PRheading2" w:customStyle="1">
    <w:name w:val="PR_heading2"/>
    <w:basedOn w:val="PRmain"/>
    <w:link w:val="PRheading2Car"/>
    <w:qFormat/>
    <w:rsid w:val="00635bdd"/>
    <w:pPr>
      <w:numPr>
        <w:ilvl w:val="1"/>
        <w:numId w:val="1"/>
      </w:numPr>
      <w:tabs>
        <w:tab w:val="clear" w:pos="720"/>
        <w:tab w:val="left" w:pos="567" w:leader="none"/>
      </w:tabs>
      <w:jc w:val="start"/>
    </w:pPr>
    <w:rPr>
      <w:b/>
      <w:bCs/>
    </w:rPr>
  </w:style>
  <w:style w:type="paragraph" w:styleId="PRheading3" w:customStyle="1">
    <w:name w:val="PR_heading3"/>
    <w:basedOn w:val="PRheading2"/>
    <w:link w:val="PRheading3Car"/>
    <w:qFormat/>
    <w:rsid w:val="003a609c"/>
    <w:pPr/>
    <w:rPr>
      <w:b w:val="false"/>
      <w:bCs w:val="false"/>
      <w:i/>
      <w:iCs/>
    </w:rPr>
  </w:style>
  <w:style w:type="paragraph" w:styleId="PRORStitle" w:customStyle="1">
    <w:name w:val="PR_ORS_title"/>
    <w:basedOn w:val="PRabstracttitle"/>
    <w:link w:val="PRORStitleCar"/>
    <w:qFormat/>
    <w:rsid w:val="00f16cec"/>
    <w:pPr>
      <w:spacing w:before="0" w:after="240"/>
    </w:pPr>
    <w:rPr/>
  </w:style>
  <w:style w:type="paragraph" w:styleId="PRHeading2unnumbered" w:customStyle="1">
    <w:name w:val="PR_Heading2_unnumbered"/>
    <w:basedOn w:val="PRmain"/>
    <w:link w:val="PRHeading2unnumberedCar"/>
    <w:qFormat/>
    <w:rsid w:val="009b231e"/>
    <w:pPr/>
    <w:rPr>
      <w:b/>
      <w:bCs/>
    </w:rPr>
  </w:style>
  <w:style w:type="paragraph" w:styleId="Header">
    <w:name w:val="header"/>
    <w:basedOn w:val="Normal"/>
    <w:link w:val="En-tteCar"/>
    <w:uiPriority w:val="99"/>
    <w:unhideWhenUsed/>
    <w:rsid w:val="003f71ab"/>
    <w:pPr>
      <w:suppressLineNumbers/>
      <w:tabs>
        <w:tab w:val="clear" w:pos="720"/>
        <w:tab w:val="center" w:pos="4680" w:leader="none"/>
        <w:tab w:val="right" w:pos="9360" w:leader="none"/>
      </w:tabs>
      <w:spacing w:lineRule="auto" w:line="240" w:before="0" w:after="0"/>
    </w:pPr>
    <w:rPr/>
  </w:style>
  <w:style w:type="paragraph" w:styleId="PRabstract" w:customStyle="1">
    <w:name w:val="PR_abstract"/>
    <w:basedOn w:val="PRmain"/>
    <w:link w:val="PRabstractCar"/>
    <w:qFormat/>
    <w:rsid w:val="00121f41"/>
    <w:pPr>
      <w:ind w:hanging="0"/>
    </w:pPr>
    <w:rPr/>
  </w:style>
  <w:style w:type="paragraph" w:styleId="PRfrontpage" w:customStyle="1">
    <w:name w:val="PR_front_page"/>
    <w:basedOn w:val="PRmain"/>
    <w:link w:val="PRfrontpageCar"/>
    <w:qFormat/>
    <w:rsid w:val="00121f41"/>
    <w:pPr>
      <w:spacing w:before="0" w:after="0"/>
      <w:ind w:hanging="0"/>
    </w:pPr>
    <w:rPr/>
  </w:style>
  <w:style w:type="paragraph" w:styleId="PRcaption" w:customStyle="1">
    <w:name w:val="PR_caption"/>
    <w:basedOn w:val="Caption"/>
    <w:link w:val="PRcaptionCar"/>
    <w:qFormat/>
    <w:rsid w:val="00047832"/>
    <w:pPr>
      <w:spacing w:before="240" w:after="200"/>
    </w:pPr>
    <w:rPr/>
  </w:style>
  <w:style w:type="paragraph" w:styleId="PRORSmain" w:customStyle="1">
    <w:name w:val="PR_ORS_main"/>
    <w:basedOn w:val="PRmain"/>
    <w:link w:val="PRORSmainCar"/>
    <w:qFormat/>
    <w:rsid w:val="00f16cec"/>
    <w:pPr>
      <w:ind w:hanging="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3d5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hyperlink" Target="https://credit.niso.org/" TargetMode="External"/><Relationship Id="rId5" Type="http://schemas.openxmlformats.org/officeDocument/2006/relationships/hyperlink" Target="https://planetary-research.org/authorship" TargetMode="External"/><Relationship Id="rId6" Type="http://schemas.openxmlformats.org/officeDocument/2006/relationships/hyperlink" Target="https://www.go-fair.org/fair-principles/" TargetMode="External"/><Relationship Id="rId7" Type="http://schemas.openxmlformats.org/officeDocument/2006/relationships/hyperlink" Target="https://planetary-research.org/open-science" TargetMode="External"/><Relationship Id="rId8" Type="http://schemas.openxmlformats.org/officeDocument/2006/relationships/hyperlink" Target="https://planetary-research.org/open-science"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10C2B-EE3E-4A78-84B9-8B6ED940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LibreOffice/25.8.4.2$Linux_X86_64 LibreOffice_project/580$Build-2</Application>
  <AppVersion>15.0000</AppVersion>
  <Pages>6</Pages>
  <Words>2348</Words>
  <Characters>13083</Characters>
  <CharactersWithSpaces>15306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2025-11-11T16:02:00Z</dcterms:created>
  <dc:creator>Lucia Mandon</dc:creator>
  <dc:description/>
  <dc:language>en-US</dc:language>
  <cp:lastModifiedBy/>
  <dcterms:modified xsi:type="dcterms:W3CDTF">2025-12-29T15:43:39Z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