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Existimos para explorar novas possibilidades e transformar tecnologia em soluções inteligentes que ajudem pessoas e empresas a trabalhar com mais clareza, autonomia e eficiência.</w:t>
      </w:r>
    </w:p>
    <w:p>
      <w:pPr>
        <w:pStyle w:val="BodyText"/>
      </w:pPr>
      <w:r>
        <w:t xml:space="preserve">Acreditamos que o conhecimento deve ser acessível, aplicado e capaz de simplificar processos, ampliar a produtividade e apoiar decisões melhores.</w:t>
      </w:r>
    </w:p>
    <w:p>
      <w:pPr>
        <w:pStyle w:val="BodyText"/>
      </w:pPr>
      <w:r>
        <w:t xml:space="preserve">Nossa motivação não está apenas em desenvolver ferramentas, mas em descobrir novas maneiras de resolver problemas reais, tornando a tecnologia uma aliada do crescimento, da organização e da evolução contínua.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2026-07-12T14:27:43Z</dcterms:created>
  <dcterms:modified xsi:type="dcterms:W3CDTF">2026-07-12T14:27:43Z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