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visão"/>
    <w:p>
      <w:pPr>
        <w:pStyle w:val="Heading3"/>
      </w:pPr>
      <w:r>
        <w:t xml:space="preserve">Visão</w:t>
      </w:r>
    </w:p>
    <w:p>
      <w:pPr>
        <w:pStyle w:val="FirstParagraph"/>
      </w:pPr>
      <w:r>
        <w:t xml:space="preserve">Ser reconhecida como uma empresa que inspira pessoas e organizações a evoluírem por meio do conhecimento, da inovação e da tecnologia, desenvolvendo soluções inteligentes que antecipam necessidades, simplificam o trabalho e transformam a forma como as decisões são tomadas.</w:t>
      </w:r>
    </w:p>
    <w:p>
      <w:pPr>
        <w:pStyle w:val="BodyText"/>
      </w:pPr>
      <w:r>
        <w:t xml:space="preserve">Queremos ser lembrados não apenas pelos produtos que criamos, mas pela capacidade de explorar novos caminhos, compartilhar conhecimento e construir soluções que façam diferença na vida das pessoas.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2026-07-12T14:29:22Z</dcterms:created>
  <dcterms:modified xsi:type="dcterms:W3CDTF">2026-07-12T14:29:22Z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