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plantbreeding/BrAPI-Manuscript2@88c1a8e</w:t>
        </w:r>
      </w:hyperlink>
      <w:r>
        <w:t xml:space="preserve"> </w:t>
      </w:r>
      <w:r>
        <w:t xml:space="preserve">on September 25, 2024.</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Recent advancements in phenotyping techniques, genotyping technologies, and prediction approaches are facilitating increased genetic gains in breeding programs, helping researchers and breeders develop better crops at a faster rate.</w:t>
      </w:r>
      <w:r>
        <w:t xml:space="preserve"> </w:t>
      </w:r>
      <w:r>
        <w:t xml:space="preserve">However, these advancements have also led to an overwhelming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To address these challenges, the Breeding API (BrAPI) project was created and has been adopted as an accepted standard data model in the breeding domain.</w:t>
      </w:r>
      <w:r>
        <w:t xml:space="preserve"> </w:t>
      </w:r>
      <w:r>
        <w:t xml:space="preserve">The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r>
        <w:t xml:space="preserve"> </w:t>
      </w:r>
      <w:r>
        <w:t xml:space="preserve">This manuscript provides an overview of the BrAPI project, highlighting the significant progress made in the development of the data standard and the expansion of its community.</w:t>
      </w:r>
      <w:r>
        <w:t xml:space="preserve"> </w:t>
      </w:r>
      <w:r>
        <w:t xml:space="preserve">It also presents a showcase of the wide variety of BrAPI-compatible tools that have been built to enhance breeding and research activities, demonstrating how the project is advancing agricultural innovation and data management practices.</w:t>
      </w:r>
    </w:p>
    <w:bookmarkEnd w:id="249"/>
    <w:bookmarkStart w:id="250" w:name="author-summary"/>
    <w:p>
      <w:pPr>
        <w:pStyle w:val="Heading2"/>
      </w:pPr>
      <w:r>
        <w:t xml:space="preserve">Author Summary</w:t>
      </w:r>
    </w:p>
    <w:p>
      <w:pPr>
        <w:pStyle w:val="FirstParagraph"/>
      </w:pPr>
      <w:r>
        <w:t xml:space="preserve">Population growth and the impacts of climate change are placing increasing pressure on global agriculture and breeding programs.</w:t>
      </w:r>
      <w:r>
        <w:t xml:space="preserve"> </w:t>
      </w:r>
      <w:r>
        <w:t xml:space="preserve">To meet the growing demand for food and resources while coping with the unpredictability of changing climates, extraordinary efforts are required to boost the efficiency of these systems.</w:t>
      </w:r>
      <w:r>
        <w:t xml:space="preserve"> </w:t>
      </w:r>
      <w:r>
        <w:t xml:space="preserve">This increase in efficiency will in part come from better computer technology and better data management.</w:t>
      </w:r>
      <w:r>
        <w:t xml:space="preserve"> </w:t>
      </w:r>
      <w:r>
        <w:t xml:space="preserve">The ability to share data and software is crucial to get better technology with fewer resources, allowing scientists to build on each others work more easily.</w:t>
      </w:r>
      <w:r>
        <w:t xml:space="preserve"> </w:t>
      </w:r>
      <w:r>
        <w:t xml:space="preserve">Creating an international data standard, such as BrAPI, within the breeding and agricultural domain allows for easy data sharing and software interoperability.</w:t>
      </w:r>
      <w:r>
        <w:t xml:space="preserve"> </w:t>
      </w:r>
      <w:r>
        <w:t xml:space="preserve">The BrAPI community combines the expertise of breeders, computational biologists, software engineers, and data scientists to build this agreed upon data standard.</w:t>
      </w:r>
      <w:r>
        <w:t xml:space="preserve"> </w:t>
      </w:r>
      <w:r>
        <w:t xml:space="preserve">The community actively encourages collaboration between research groups, creating a network of shared technology and knowledge.</w:t>
      </w:r>
      <w:r>
        <w:t xml:space="preserve"> </w:t>
      </w:r>
      <w:r>
        <w:t xml:space="preserve">This spirit of collaboration not only accelerates progress but also helps to use resources more efficiently, reducing duplication of effort and enabling research groups to focus on new innovations.</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r>
        <w:t xml:space="preserve"> </w:t>
      </w:r>
      <w:r>
        <w:t xml:space="preserve">[</w:t>
      </w:r>
      <w:hyperlink w:anchor="ref-YD25diXo">
        <w:r>
          <w:rPr>
            <w:rStyle w:val="Hyperlink"/>
          </w:rPr>
          <w:t xml:space="preserve">1</w:t>
        </w:r>
      </w:hyperlink>
      <w:r>
        <w:t xml:space="preserve">]</w:t>
      </w:r>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r>
        <w:t xml:space="preserve"> </w:t>
      </w:r>
      <w:r>
        <w:t xml:space="preserve">[</w:t>
      </w:r>
      <w:hyperlink w:anchor="ref-QfGEJ6km">
        <w:r>
          <w:rPr>
            <w:rStyle w:val="Hyperlink"/>
          </w:rPr>
          <w:t xml:space="preserve">2</w:t>
        </w:r>
      </w:hyperlink>
      <w:r>
        <w:t xml:space="preserve">]</w:t>
      </w:r>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r>
        <w:t xml:space="preserve"> </w:t>
      </w:r>
      <w:r>
        <w:t xml:space="preserve">[</w:t>
      </w:r>
      <w:hyperlink w:anchor="ref-QfGEJ6km">
        <w:r>
          <w:rPr>
            <w:rStyle w:val="Hyperlink"/>
          </w:rPr>
          <w:t xml:space="preserve">2</w:t>
        </w:r>
      </w:hyperlink>
      <w:r>
        <w:t xml:space="preserve">]</w:t>
      </w:r>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r>
        <w:t xml:space="preserve"> </w:t>
      </w:r>
      <w:r>
        <w:t xml:space="preserve">[</w:t>
      </w:r>
      <w:hyperlink w:anchor="ref-4ued1AJ5">
        <w:r>
          <w:rPr>
            <w:rStyle w:val="Hyperlink"/>
          </w:rPr>
          <w:t xml:space="preserve">3</w:t>
        </w:r>
      </w:hyperlink>
      <w:r>
        <w:t xml:space="preserve">]</w:t>
      </w:r>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r>
        <w:t xml:space="preserve"> </w:t>
      </w:r>
      <w:r>
        <w:t xml:space="preserve">[</w:t>
      </w:r>
      <w:hyperlink w:anchor="ref-MlqG0w6i">
        <w:r>
          <w:rPr>
            <w:rStyle w:val="Hyperlink"/>
          </w:rPr>
          <w:t xml:space="preserve">4</w:t>
        </w:r>
      </w:hyperlink>
      <w:r>
        <w:t xml:space="preserve">]</w:t>
      </w:r>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r>
        <w:t xml:space="preserve"> </w:t>
      </w:r>
      <w:r>
        <w:t xml:space="preserve">[</w:t>
      </w:r>
      <w:hyperlink w:anchor="ref-Ne0E9HbC">
        <w:r>
          <w:rPr>
            <w:rStyle w:val="Hyperlink"/>
          </w:rPr>
          <w:t xml:space="preserve">5</w:t>
        </w:r>
      </w:hyperlink>
      <w:r>
        <w:t xml:space="preserve">]</w:t>
      </w:r>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r>
        <w:t xml:space="preserve"> </w:t>
      </w:r>
      <w:r>
        <w:t xml:space="preserve">[</w:t>
      </w:r>
      <w:hyperlink w:anchor="ref-LCpCba21">
        <w:r>
          <w:rPr>
            <w:rStyle w:val="Hyperlink"/>
          </w:rPr>
          <w:t xml:space="preserve">6</w:t>
        </w:r>
      </w:hyperlink>
      <w:r>
        <w:t xml:space="preserve">]</w:t>
      </w:r>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r>
        <w:t xml:space="preserve"> </w:t>
      </w:r>
      <w:r>
        <w:t xml:space="preserve">[</w:t>
      </w:r>
      <w:hyperlink w:anchor="ref-Dhlmsxng">
        <w:r>
          <w:rPr>
            <w:rStyle w:val="Hyperlink"/>
          </w:rPr>
          <w:t xml:space="preserve">7</w:t>
        </w:r>
      </w:hyperlink>
      <w:r>
        <w:t xml:space="preserve">]</w:t>
      </w:r>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r>
        <w:t xml:space="preserve"> </w:t>
      </w:r>
      <w:r>
        <w:t xml:space="preserve">[</w:t>
      </w:r>
      <w:hyperlink w:anchor="ref-3TbA7PwE">
        <w:r>
          <w:rPr>
            <w:rStyle w:val="Hyperlink"/>
          </w:rPr>
          <w:t xml:space="preserve">8</w:t>
        </w:r>
      </w:hyperlink>
      <w:r>
        <w:t xml:space="preserve">]</w:t>
      </w:r>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r>
        <w:t xml:space="preserve"> </w:t>
      </w:r>
      <w:r>
        <w:t xml:space="preserve">[</w:t>
      </w:r>
      <w:hyperlink w:anchor="ref-9aM2mdF4">
        <w:r>
          <w:rPr>
            <w:rStyle w:val="Hyperlink"/>
          </w:rPr>
          <w:t xml:space="preserve">9</w:t>
        </w:r>
      </w:hyperlink>
      <w:r>
        <w:t xml:space="preserve">]</w:t>
      </w:r>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r>
        <w:t xml:space="preserve"> </w:t>
      </w:r>
      <w:r>
        <w:t xml:space="preserve">[</w:t>
      </w:r>
      <w:hyperlink w:anchor="ref-okf3YI9z">
        <w:r>
          <w:rPr>
            <w:rStyle w:val="Hyperlink"/>
          </w:rPr>
          <w:t xml:space="preserve">11</w:t>
        </w:r>
      </w:hyperlink>
      <w:r>
        <w:t xml:space="preserve">]</w:t>
      </w:r>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r>
        <w:t xml:space="preserve"> </w:t>
      </w:r>
      <w:r>
        <w:t xml:space="preserve">[</w:t>
      </w:r>
      <w:hyperlink w:anchor="ref-r84WbX0P">
        <w:r>
          <w:rPr>
            <w:rStyle w:val="Hyperlink"/>
          </w:rPr>
          <w:t xml:space="preserve">12</w:t>
        </w:r>
      </w:hyperlink>
      <w:r>
        <w:t xml:space="preserve">]</w:t>
      </w:r>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r>
        <w:t xml:space="preserve"> </w:t>
      </w:r>
      <w:r>
        <w:t xml:space="preserve">[</w:t>
      </w:r>
      <w:hyperlink w:anchor="ref-9aM2mdF4">
        <w:r>
          <w:rPr>
            <w:rStyle w:val="Hyperlink"/>
          </w:rPr>
          <w:t xml:space="preserve">9</w:t>
        </w:r>
      </w:hyperlink>
      <w:r>
        <w:t xml:space="preserve">]</w:t>
      </w:r>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r>
        <w:t xml:space="preserve">[</w:t>
      </w:r>
      <w:hyperlink w:anchor="ref-al3Hd9Ml">
        <w:r>
          <w:rPr>
            <w:rStyle w:val="Hyperlink"/>
          </w:rPr>
          <w:t xml:space="preserve">13</w:t>
        </w:r>
      </w:hyperlink>
      <w:r>
        <w:t xml:space="preserve">]</w:t>
      </w:r>
      <w:r>
        <w:t xml:space="preserve"> </w:t>
      </w:r>
      <w:r>
        <w:t xml:space="preserve">and MGIS</w:t>
      </w:r>
      <w:r>
        <w:t xml:space="preserve">[</w:t>
      </w:r>
      <w:hyperlink w:anchor="ref-84Yn3FWj">
        <w:r>
          <w:rPr>
            <w:rStyle w:val="Hyperlink"/>
          </w:rPr>
          <w:t xml:space="preserve">14</w:t>
        </w:r>
      </w:hyperlink>
      <w:r>
        <w:t xml:space="preserve">]</w:t>
      </w:r>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r>
        <w:t xml:space="preserve"> </w:t>
      </w:r>
      <w:r>
        <w:t xml:space="preserve">[</w:t>
      </w:r>
      <w:hyperlink w:anchor="ref-PzHxvkzH">
        <w:r>
          <w:rPr>
            <w:rStyle w:val="Hyperlink"/>
          </w:rPr>
          <w:t xml:space="preserve">15</w:t>
        </w:r>
      </w:hyperlink>
      <w:r>
        <w:t xml:space="preserve">]</w:t>
      </w:r>
      <w:r>
        <w:t xml:space="preserve"> </w:t>
      </w:r>
      <w:r>
        <w:t xml:space="preserve">and the GA4GH Variants schema</w:t>
      </w:r>
      <w:r>
        <w:t xml:space="preserve"> </w:t>
      </w:r>
      <w:r>
        <w:t xml:space="preserve">[</w:t>
      </w:r>
      <w:hyperlink w:anchor="ref-186zclKvK">
        <w:r>
          <w:rPr>
            <w:rStyle w:val="Hyperlink"/>
          </w:rPr>
          <w:t xml:space="preserve">16</w:t>
        </w:r>
      </w:hyperlink>
      <w:r>
        <w:t xml:space="preserve">]</w:t>
      </w:r>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r>
        <w:t xml:space="preserve"> </w:t>
      </w:r>
      <w:r>
        <w:t xml:space="preserve">[</w:t>
      </w:r>
      <w:hyperlink w:anchor="ref-9fRbvOj2">
        <w:r>
          <w:rPr>
            <w:rStyle w:val="Hyperlink"/>
          </w:rPr>
          <w:t xml:space="preserve">17</w:t>
        </w:r>
      </w:hyperlink>
      <w:r>
        <w:t xml:space="preserve">]</w:t>
      </w:r>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r>
        <w:t xml:space="preserve"> </w:t>
      </w:r>
      <w:r>
        <w:t xml:space="preserve">[</w:t>
      </w:r>
      <w:hyperlink w:anchor="ref-nEsJGUWa">
        <w:r>
          <w:rPr>
            <w:rStyle w:val="Hyperlink"/>
          </w:rPr>
          <w:t xml:space="preserve">18</w:t>
        </w:r>
      </w:hyperlink>
      <w:r>
        <w:t xml:space="preserve">]</w:t>
      </w:r>
      <w:r>
        <w:t xml:space="preserve"> </w:t>
      </w:r>
      <w:r>
        <w:t xml:space="preserve">installed on Galaxy servers</w:t>
      </w:r>
      <w:r>
        <w:t xml:space="preserve"> </w:t>
      </w:r>
      <w:r>
        <w:t xml:space="preserve">[</w:t>
      </w:r>
      <w:hyperlink w:anchor="ref-1HIbyz3rL">
        <w:r>
          <w:rPr>
            <w:rStyle w:val="Hyperlink"/>
          </w:rPr>
          <w:t xml:space="preserve">19</w:t>
        </w:r>
      </w:hyperlink>
      <w:r>
        <w:t xml:space="preserve">]</w:t>
      </w:r>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r>
        <w:t xml:space="preserve"> </w:t>
      </w:r>
      <w:r>
        <w:t xml:space="preserve">[</w:t>
      </w:r>
      <w:hyperlink w:anchor="ref-Wz8l0HlN">
        <w:r>
          <w:rPr>
            <w:rStyle w:val="Hyperlink"/>
          </w:rPr>
          <w:t xml:space="preserve">20</w:t>
        </w:r>
      </w:hyperlink>
      <w:r>
        <w:t xml:space="preserve">]</w:t>
      </w:r>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r>
        <w:t xml:space="preserve"> </w:t>
      </w:r>
      <w:r>
        <w:t xml:space="preserve">[</w:t>
      </w:r>
      <w:hyperlink w:anchor="ref-AVjkjraw">
        <w:r>
          <w:rPr>
            <w:rStyle w:val="Hyperlink"/>
          </w:rPr>
          <w:t xml:space="preserve">21</w:t>
        </w:r>
      </w:hyperlink>
      <w:r>
        <w:t xml:space="preserve">]</w:t>
      </w:r>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r>
        <w:t xml:space="preserve"> </w:t>
      </w:r>
      <w:r>
        <w:t xml:space="preserve">[</w:t>
      </w:r>
      <w:hyperlink w:anchor="ref-bvSFyrtt">
        <w:r>
          <w:rPr>
            <w:rStyle w:val="Hyperlink"/>
          </w:rPr>
          <w:t xml:space="preserve">22</w:t>
        </w:r>
      </w:hyperlink>
      <w:r>
        <w:t xml:space="preserve">]</w:t>
      </w:r>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r>
        <w:t xml:space="preserve"> </w:t>
      </w:r>
      <w:r>
        <w:t xml:space="preserve">[</w:t>
      </w:r>
      <w:hyperlink w:anchor="ref-Wz8l0HlN">
        <w:r>
          <w:rPr>
            <w:rStyle w:val="Hyperlink"/>
          </w:rPr>
          <w:t xml:space="preserve">20</w:t>
        </w:r>
      </w:hyperlink>
      <w:r>
        <w:t xml:space="preserve">]</w:t>
      </w:r>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r>
        <w:t xml:space="preserve"> </w:t>
      </w:r>
      <w:r>
        <w:t xml:space="preserve">[</w:t>
      </w:r>
      <w:hyperlink w:anchor="ref-VFIpO8nU">
        <w:r>
          <w:rPr>
            <w:rStyle w:val="Hyperlink"/>
          </w:rPr>
          <w:t xml:space="preserve">23</w:t>
        </w:r>
      </w:hyperlink>
      <w:r>
        <w:t xml:space="preserve">]</w:t>
      </w:r>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r>
        <w:t xml:space="preserve"> </w:t>
      </w:r>
      <w:r>
        <w:t xml:space="preserve">[</w:t>
      </w:r>
      <w:hyperlink w:anchor="ref-S1uQPBPG">
        <w:r>
          <w:rPr>
            <w:rStyle w:val="Hyperlink"/>
          </w:rPr>
          <w:t xml:space="preserve">24</w:t>
        </w:r>
      </w:hyperlink>
      <w:r>
        <w:t xml:space="preserve">]</w:t>
      </w:r>
      <w:r>
        <w:t xml:space="preserve">.</w:t>
      </w:r>
      <w:r>
        <w:t xml:space="preserve"> </w:t>
      </w:r>
      <w:r>
        <w:t xml:space="preserve">In the global system for ex situ conservation of PGRs, material is being conserved in about 1750 collections totalling ~5.8 million accessions</w:t>
      </w:r>
      <w:r>
        <w:t xml:space="preserve"> </w:t>
      </w:r>
      <w:r>
        <w:t xml:space="preserve">[</w:t>
      </w:r>
      <w:hyperlink w:anchor="ref-USun3Z8l">
        <w:r>
          <w:rPr>
            <w:rStyle w:val="Hyperlink"/>
          </w:rPr>
          <w:t xml:space="preserve">25</w:t>
        </w:r>
      </w:hyperlink>
      <w:r>
        <w:t xml:space="preserve">]</w:t>
      </w:r>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r>
        <w:t xml:space="preserve"> </w:t>
      </w:r>
      <w:r>
        <w:t xml:space="preserve">[</w:t>
      </w:r>
      <w:hyperlink w:anchor="ref-i0Aj9IwD">
        <w:r>
          <w:rPr>
            <w:rStyle w:val="Hyperlink"/>
          </w:rPr>
          <w:t xml:space="preserve">26</w:t>
        </w:r>
      </w:hyperlink>
      <w:r>
        <w:t xml:space="preserve">]</w:t>
      </w:r>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r>
        <w:t xml:space="preserve"> </w:t>
      </w:r>
      <w:r>
        <w:t xml:space="preserve">[</w:t>
      </w:r>
      <w:hyperlink w:anchor="ref-6DjakjNS">
        <w:r>
          <w:rPr>
            <w:rStyle w:val="Hyperlink"/>
          </w:rPr>
          <w:t xml:space="preserve">27</w:t>
        </w:r>
      </w:hyperlink>
      <w:r>
        <w:t xml:space="preserve">]</w:t>
      </w:r>
      <w:r>
        <w:t xml:space="preserve">. Thirteen European genebanks and five bioinformatics centers are working together and have agreed on standards and protocols for data flow and data formats for the collection, integration, and archiving of genotypic and phenotypic data</w:t>
      </w:r>
      <w:r>
        <w:t xml:space="preserve">[</w:t>
      </w:r>
      <w:hyperlink w:anchor="ref-31NWAHsO">
        <w:r>
          <w:rPr>
            <w:rStyle w:val="Hyperlink"/>
          </w:rPr>
          <w:t xml:space="preserve">28</w:t>
        </w:r>
      </w:hyperlink>
      <w:r>
        <w:t xml:space="preserve">]</w:t>
      </w:r>
      <w:r>
        <w:t xml:space="preserve">.</w:t>
      </w:r>
    </w:p>
    <w:p>
      <w:pPr>
        <w:pStyle w:val="BodyText"/>
      </w:pPr>
      <w:r>
        <w:t xml:space="preserve">The BrAPI specification is one of the agreed standards that are detailed in the AGENT guidelines for dataflow</w:t>
      </w:r>
      <w:r>
        <w:t xml:space="preserve"> </w:t>
      </w:r>
      <w:r>
        <w:t xml:space="preserve">[</w:t>
      </w:r>
      <w:hyperlink w:anchor="ref-QRzg4OSs">
        <w:r>
          <w:rPr>
            <w:rStyle w:val="Hyperlink"/>
          </w:rPr>
          <w:t xml:space="preserve">29</w:t>
        </w:r>
      </w:hyperlink>
      <w:r>
        <w:t xml:space="preserve">]</w:t>
      </w:r>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r>
        <w:t xml:space="preserve"> </w:t>
      </w:r>
      <w:r>
        <w:t xml:space="preserve">[</w:t>
      </w:r>
      <w:hyperlink w:anchor="ref-9fRbvOj2">
        <w:r>
          <w:rPr>
            <w:rStyle w:val="Hyperlink"/>
          </w:rPr>
          <w:t xml:space="preserve">17</w:t>
        </w:r>
      </w:hyperlink>
      <w:r>
        <w:t xml:space="preserve">]</w:t>
      </w:r>
      <w:r>
        <w:t xml:space="preserve"> </w:t>
      </w:r>
      <w:r>
        <w:t xml:space="preserve">storage engine and its BrAPI interface. Soon, the BrAPI implementation will be expanded to enable the integration of analysis pipelines in the AGENT portal, such as the FIGS+ pipeline developed by ICARDA</w:t>
      </w:r>
      <w:r>
        <w:t xml:space="preserve"> </w:t>
      </w:r>
      <w:r>
        <w:t xml:space="preserve">[</w:t>
      </w:r>
      <w:hyperlink w:anchor="ref-6VGwG9za">
        <w:r>
          <w:rPr>
            <w:rStyle w:val="Hyperlink"/>
          </w:rPr>
          <w:t xml:space="preserve">30</w:t>
        </w:r>
      </w:hyperlink>
      <w:r>
        <w:t xml:space="preserve">]</w:t>
      </w:r>
      <w:r>
        <w:t xml:space="preserve">. There is also a plan to integrate the data collected by the AGENT project into the European Search Catalogue for Plant Genetic Resources (EURISCO)</w:t>
      </w:r>
      <w:r>
        <w:t xml:space="preserve"> </w:t>
      </w:r>
      <w:r>
        <w:t xml:space="preserve">[</w:t>
      </w:r>
      <w:hyperlink w:anchor="ref-pk5OwSG6">
        <w:r>
          <w:rPr>
            <w:rStyle w:val="Hyperlink"/>
          </w:rPr>
          <w:t xml:space="preserve">31</w:t>
        </w:r>
      </w:hyperlink>
      <w:r>
        <w:t xml:space="preserve">]</w:t>
      </w:r>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r>
        <w:t xml:space="preserve"> </w:t>
      </w:r>
      <w:r>
        <w:t xml:space="preserve">[</w:t>
      </w:r>
      <w:hyperlink w:anchor="ref-m7yuFGsd">
        <w:r>
          <w:rPr>
            <w:rStyle w:val="Hyperlink"/>
          </w:rPr>
          <w:t xml:space="preserve">32</w:t>
        </w:r>
      </w:hyperlink>
      <w:r>
        <w:t xml:space="preserve">,</w:t>
      </w:r>
      <w:hyperlink w:anchor="ref-15XwZ2Vb0">
        <w:r>
          <w:rPr>
            <w:rStyle w:val="Hyperlink"/>
          </w:rPr>
          <w:t xml:space="preserve">33</w:t>
        </w:r>
      </w:hyperlink>
      <w:r>
        <w:t xml:space="preserve">]</w:t>
      </w:r>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r>
        <w:t xml:space="preserve"> </w:t>
      </w:r>
      <w:r>
        <w:t xml:space="preserve">[</w:t>
      </w:r>
      <w:hyperlink w:anchor="ref-i0Aj9IwD">
        <w:r>
          <w:rPr>
            <w:rStyle w:val="Hyperlink"/>
          </w:rPr>
          <w:t xml:space="preserve">26</w:t>
        </w:r>
      </w:hyperlink>
      <w:r>
        <w:t xml:space="preserve">]</w:t>
      </w:r>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r>
        <w:t xml:space="preserve"> </w:t>
      </w:r>
      <w:r>
        <w:t xml:space="preserve">[</w:t>
      </w:r>
      <w:hyperlink w:anchor="ref-X22hwO1v">
        <w:r>
          <w:rPr>
            <w:rStyle w:val="Hyperlink"/>
          </w:rPr>
          <w:t xml:space="preserve">34</w:t>
        </w:r>
      </w:hyperlink>
      <w:r>
        <w:t xml:space="preserve">]</w:t>
      </w:r>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r>
        <w:t xml:space="preserve"> </w:t>
      </w:r>
      <w:r>
        <w:t xml:space="preserve">[</w:t>
      </w:r>
      <w:hyperlink w:anchor="ref-1CKLIIaug">
        <w:r>
          <w:rPr>
            <w:rStyle w:val="Hyperlink"/>
          </w:rPr>
          <w:t xml:space="preserve">35</w:t>
        </w:r>
      </w:hyperlink>
      <w:r>
        <w:t xml:space="preserve">]</w:t>
      </w:r>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r>
        <w:t xml:space="preserve"> </w:t>
      </w:r>
      <w:r>
        <w:t xml:space="preserve">[</w:t>
      </w:r>
      <w:hyperlink w:anchor="ref-1HmEHgW8h">
        <w:r>
          <w:rPr>
            <w:rStyle w:val="Hyperlink"/>
          </w:rPr>
          <w:t xml:space="preserve">36</w:t>
        </w:r>
      </w:hyperlink>
      <w:r>
        <w:t xml:space="preserve">]</w:t>
      </w:r>
      <w:r>
        <w:t xml:space="preserve"> </w:t>
      </w:r>
      <w:r>
        <w:t xml:space="preserve">it has also found utility in other non-plant projects</w:t>
      </w:r>
      <w:r>
        <w:t xml:space="preserve"> </w:t>
      </w:r>
      <w:r>
        <w:t xml:space="preserve">[</w:t>
      </w:r>
      <w:hyperlink w:anchor="ref-x8DIc6zn">
        <w:r>
          <w:rPr>
            <w:rStyle w:val="Hyperlink"/>
          </w:rPr>
          <w:t xml:space="preserve">37</w:t>
        </w:r>
      </w:hyperlink>
      <w:r>
        <w:t xml:space="preserve">]</w:t>
      </w:r>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r>
        <w:t xml:space="preserve"> </w:t>
      </w:r>
      <w:r>
        <w:t xml:space="preserve">[</w:t>
      </w:r>
      <w:hyperlink w:anchor="ref-84Yn3FWj">
        <w:r>
          <w:rPr>
            <w:rStyle w:val="Hyperlink"/>
          </w:rPr>
          <w:t xml:space="preserve">14</w:t>
        </w:r>
      </w:hyperlink>
      <w:r>
        <w:t xml:space="preserve">]</w:t>
      </w:r>
      <w:r>
        <w:t xml:space="preserve">. MGIS offers detailed information on banana germplasm, focusing on the collections held by the CGIAR International Banana Genebank (ITC)</w:t>
      </w:r>
      <w:r>
        <w:t xml:space="preserve"> </w:t>
      </w:r>
      <w:r>
        <w:t xml:space="preserve">[</w:t>
      </w:r>
      <w:hyperlink w:anchor="ref-JWi7AKhJ">
        <w:r>
          <w:rPr>
            <w:rStyle w:val="Hyperlink"/>
          </w:rPr>
          <w:t xml:space="preserve">38</w:t>
        </w:r>
      </w:hyperlink>
      <w:r>
        <w:t xml:space="preserve">]</w:t>
      </w:r>
      <w:r>
        <w:t xml:space="preserve">. It is built on the Drupal/Tripal technology, like BIMS</w:t>
      </w:r>
      <w:r>
        <w:t xml:space="preserve"> </w:t>
      </w:r>
      <w:r>
        <w:t xml:space="preserve">[</w:t>
      </w:r>
      <w:hyperlink w:anchor="ref-ArPSsaJQ">
        <w:r>
          <w:rPr>
            <w:rStyle w:val="Hyperlink"/>
          </w:rPr>
          <w:t xml:space="preserve">39</w:t>
        </w:r>
      </w:hyperlink>
      <w:r>
        <w:t xml:space="preserve">]</w:t>
      </w:r>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r>
        <w:t xml:space="preserve"> </w:t>
      </w:r>
      <w:r>
        <w:t xml:space="preserve">[</w:t>
      </w:r>
      <w:hyperlink w:anchor="ref-AVjkjraw">
        <w:r>
          <w:rPr>
            <w:rStyle w:val="Hyperlink"/>
          </w:rPr>
          <w:t xml:space="preserve">21</w:t>
        </w:r>
      </w:hyperlink>
      <w:r>
        <w:t xml:space="preserve">]</w:t>
      </w:r>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r>
        <w:t xml:space="preserve"> </w:t>
      </w:r>
      <w:r>
        <w:t xml:space="preserve">[</w:t>
      </w:r>
      <w:hyperlink w:anchor="ref-VndIxnl3">
        <w:r>
          <w:rPr>
            <w:rStyle w:val="Hyperlink"/>
          </w:rPr>
          <w:t xml:space="preserve">40</w:t>
        </w:r>
      </w:hyperlink>
      <w:r>
        <w:t xml:space="preserve">]</w:t>
      </w:r>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r>
        <w:t xml:space="preserve"> </w:t>
      </w:r>
      <w:r>
        <w:t xml:space="preserve">[</w:t>
      </w:r>
      <w:hyperlink w:anchor="ref-ArPSsaJQ">
        <w:r>
          <w:rPr>
            <w:rStyle w:val="Hyperlink"/>
          </w:rPr>
          <w:t xml:space="preserve">39</w:t>
        </w:r>
      </w:hyperlink>
      <w:r>
        <w:t xml:space="preserve">]</w:t>
      </w:r>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r>
        <w:t xml:space="preserve"> </w:t>
      </w:r>
      <w:r>
        <w:t xml:space="preserve">[</w:t>
      </w:r>
      <w:hyperlink w:anchor="ref-eaDrNpsp">
        <w:r>
          <w:rPr>
            <w:rStyle w:val="Hyperlink"/>
          </w:rPr>
          <w:t xml:space="preserve">41</w:t>
        </w:r>
      </w:hyperlink>
      <w:r>
        <w:t xml:space="preserve">]</w:t>
      </w:r>
      <w:r>
        <w:t xml:space="preserve">, CottonGEN</w:t>
      </w:r>
      <w:r>
        <w:t xml:space="preserve"> </w:t>
      </w:r>
      <w:r>
        <w:t xml:space="preserve">[</w:t>
      </w:r>
      <w:hyperlink w:anchor="ref-dcg0274X">
        <w:r>
          <w:rPr>
            <w:rStyle w:val="Hyperlink"/>
          </w:rPr>
          <w:t xml:space="preserve">42</w:t>
        </w:r>
      </w:hyperlink>
      <w:r>
        <w:t xml:space="preserve">]</w:t>
      </w:r>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r>
        <w:t xml:space="preserve"> </w:t>
      </w:r>
      <w:r>
        <w:t xml:space="preserve">[</w:t>
      </w:r>
      <w:hyperlink w:anchor="ref-MlqG0w6i">
        <w:r>
          <w:rPr>
            <w:rStyle w:val="Hyperlink"/>
          </w:rPr>
          <w:t xml:space="preserve">4</w:t>
        </w:r>
      </w:hyperlink>
      <w:r>
        <w:t xml:space="preserve">]</w:t>
      </w:r>
      <w:r>
        <w:t xml:space="preserve">, enabling seamless data transfer between data collection and subsequent management in BIMS. Data transfer through BrAPI between BIMS and other resources such as Breedbase</w:t>
      </w:r>
      <w:r>
        <w:t xml:space="preserve"> </w:t>
      </w:r>
      <w:r>
        <w:t xml:space="preserve">[</w:t>
      </w:r>
      <w:hyperlink w:anchor="ref-al3Hd9Ml">
        <w:r>
          <w:rPr>
            <w:rStyle w:val="Hyperlink"/>
          </w:rPr>
          <w:t xml:space="preserve">13</w:t>
        </w:r>
      </w:hyperlink>
      <w:r>
        <w:t xml:space="preserve">]</w:t>
      </w:r>
      <w:r>
        <w:t xml:space="preserve">, GIGWA</w:t>
      </w:r>
      <w:r>
        <w:t xml:space="preserve"> </w:t>
      </w:r>
      <w:r>
        <w:t xml:space="preserve">[</w:t>
      </w:r>
      <w:hyperlink w:anchor="ref-AVjkjraw">
        <w:r>
          <w:rPr>
            <w:rStyle w:val="Hyperlink"/>
          </w:rPr>
          <w:t xml:space="preserve">21</w:t>
        </w:r>
      </w:hyperlink>
      <w:r>
        <w:t xml:space="preserve">]</w:t>
      </w:r>
      <w:r>
        <w:t xml:space="preserve">, and the Breeder Genomics Hub</w:t>
      </w:r>
      <w:r>
        <w:t xml:space="preserve"> </w:t>
      </w:r>
      <w:r>
        <w:t xml:space="preserve">[</w:t>
      </w:r>
      <w:hyperlink w:anchor="ref-AD7jmfXG">
        <w:r>
          <w:rPr>
            <w:rStyle w:val="Hyperlink"/>
          </w:rPr>
          <w:t xml:space="preserve">43</w:t>
        </w:r>
      </w:hyperlink>
      <w: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r>
        <w:t xml:space="preserve"> </w:t>
      </w:r>
      <w:r>
        <w:t xml:space="preserve">[</w:t>
      </w:r>
      <w:hyperlink w:anchor="ref-al3Hd9Ml">
        <w:r>
          <w:rPr>
            <w:rStyle w:val="Hyperlink"/>
          </w:rPr>
          <w:t xml:space="preserve">13</w:t>
        </w:r>
      </w:hyperlink>
      <w:r>
        <w:t xml:space="preserve">,</w:t>
      </w:r>
      <w:hyperlink w:anchor="ref-1FDf25dDD">
        <w:r>
          <w:rPr>
            <w:rStyle w:val="Hyperlink"/>
          </w:rPr>
          <w:t xml:space="preserve">44</w:t>
        </w:r>
      </w:hyperlink>
      <w:r>
        <w:t xml:space="preserve">]</w:t>
      </w:r>
      <w:r>
        <w:t xml:space="preserve"> </w:t>
      </w:r>
      <w:r>
        <w:t xml:space="preserve">that implements a digital ecosystem for all breeding data, including trial data, phenotypic data, and genotypic data. Data acquisition is supported through data collection apps such as Fieldbook</w:t>
      </w:r>
      <w:r>
        <w:t xml:space="preserve"> </w:t>
      </w:r>
      <w:r>
        <w:t xml:space="preserve">[</w:t>
      </w:r>
      <w:hyperlink w:anchor="ref-MlqG0w6i">
        <w:r>
          <w:rPr>
            <w:rStyle w:val="Hyperlink"/>
          </w:rPr>
          <w:t xml:space="preserve">4</w:t>
        </w:r>
      </w:hyperlink>
      <w:r>
        <w:t xml:space="preserve">]</w:t>
      </w:r>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r>
        <w:t xml:space="preserve"> </w:t>
      </w:r>
      <w:r>
        <w:t xml:space="preserve">[</w:t>
      </w:r>
      <w:hyperlink w:anchor="ref-zuq8ri4R">
        <w:r>
          <w:rPr>
            <w:rStyle w:val="Hyperlink"/>
          </w:rPr>
          <w:t xml:space="preserve">45</w:t>
        </w:r>
      </w:hyperlink>
      <w:r>
        <w:t xml:space="preserve">]</w:t>
      </w:r>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r>
        <w:t xml:space="preserve"> </w:t>
      </w:r>
      <w:r>
        <w:t xml:space="preserve">[</w:t>
      </w:r>
      <w:hyperlink w:anchor="ref-LCpCba21">
        <w:r>
          <w:rPr>
            <w:rStyle w:val="Hyperlink"/>
          </w:rPr>
          <w:t xml:space="preserve">6</w:t>
        </w:r>
      </w:hyperlink>
      <w:r>
        <w:t xml:space="preserve">]</w:t>
      </w:r>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r>
        <w:t xml:space="preserve"> </w:t>
      </w:r>
      <w:r>
        <w:t xml:space="preserve">[</w:t>
      </w:r>
      <w:hyperlink w:anchor="ref-a9uPTJgO">
        <w:r>
          <w:rPr>
            <w:rStyle w:val="Hyperlink"/>
          </w:rPr>
          <w:t xml:space="preserve">46</w:t>
        </w:r>
      </w:hyperlink>
      <w:r>
        <w:t xml:space="preserve">]</w:t>
      </w:r>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r>
        <w:t xml:space="preserve"> </w:t>
      </w:r>
      <w:r>
        <w:t xml:space="preserve">[</w:t>
      </w:r>
      <w:hyperlink w:anchor="ref-HC5no0wP">
        <w:r>
          <w:rPr>
            <w:rStyle w:val="Hyperlink"/>
          </w:rPr>
          <w:t xml:space="preserve">47</w:t>
        </w:r>
      </w:hyperlink>
      <w:r>
        <w:t xml:space="preserve">]</w:t>
      </w:r>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r>
        <w:t xml:space="preserve"> </w:t>
      </w:r>
      <w:r>
        <w:t xml:space="preserve">[</w:t>
      </w:r>
      <w:hyperlink w:anchor="ref-smRihyhY">
        <w:r>
          <w:rPr>
            <w:rStyle w:val="Hyperlink"/>
          </w:rPr>
          <w:t xml:space="preserve">48</w:t>
        </w:r>
      </w:hyperlink>
      <w:r>
        <w:t xml:space="preserve">]</w:t>
      </w:r>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r>
        <w:t xml:space="preserve"> </w:t>
      </w:r>
      <w:r>
        <w:t xml:space="preserve">[</w:t>
      </w:r>
      <w:hyperlink w:anchor="ref-m7yuFGsd">
        <w:r>
          <w:rPr>
            <w:rStyle w:val="Hyperlink"/>
          </w:rPr>
          <w:t xml:space="preserve">32</w:t>
        </w:r>
      </w:hyperlink>
      <w:r>
        <w:t xml:space="preserve">]</w:t>
      </w:r>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r>
        <w:t xml:space="preserve"> </w:t>
      </w:r>
      <w:r>
        <w:t xml:space="preserve">[</w:t>
      </w:r>
      <w:hyperlink w:anchor="ref-sW9euzzP">
        <w:r>
          <w:rPr>
            <w:rStyle w:val="Hyperlink"/>
          </w:rPr>
          <w:t xml:space="preserve">49</w:t>
        </w:r>
      </w:hyperlink>
      <w:r>
        <w:t xml:space="preserve">,</w:t>
      </w:r>
      <w:hyperlink w:anchor="ref-rPgDlCbt">
        <w:r>
          <w:rPr>
            <w:rStyle w:val="Hyperlink"/>
          </w:rPr>
          <w:t xml:space="preserve">50</w:t>
        </w:r>
      </w:hyperlink>
      <w:r>
        <w:t xml:space="preserve">]</w:t>
      </w:r>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r>
        <w:t xml:space="preserve"> </w:t>
      </w:r>
      <w:r>
        <w:t xml:space="preserve">[</w:t>
      </w:r>
      <w:hyperlink w:anchor="ref-a9uPTJgO">
        <w:r>
          <w:rPr>
            <w:rStyle w:val="Hyperlink"/>
          </w:rPr>
          <w:t xml:space="preserve">46</w:t>
        </w:r>
      </w:hyperlink>
      <w:r>
        <w:t xml:space="preserve">]</w:t>
      </w:r>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r>
        <w:t xml:space="preserve"> </w:t>
      </w:r>
      <w:r>
        <w:t xml:space="preserve">[</w:t>
      </w:r>
      <w:hyperlink w:anchor="ref-al3Hd9Ml">
        <w:r>
          <w:rPr>
            <w:rStyle w:val="Hyperlink"/>
          </w:rPr>
          <w:t xml:space="preserve">13</w:t>
        </w:r>
      </w:hyperlink>
      <w:r>
        <w:t xml:space="preserve">]</w:t>
      </w:r>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r>
        <w:t xml:space="preserve"> </w:t>
      </w:r>
      <w:r>
        <w:t xml:space="preserve">[</w:t>
      </w:r>
      <w:hyperlink w:anchor="ref-kWLsm7g6">
        <w:r>
          <w:rPr>
            <w:rStyle w:val="Hyperlink"/>
          </w:rPr>
          <w:t xml:space="preserve">10</w:t>
        </w:r>
      </w:hyperlink>
      <w:r>
        <w:t xml:space="preserve">]</w:t>
      </w:r>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r>
        <w:t xml:space="preserve"> </w:t>
      </w:r>
      <w:r>
        <w:t xml:space="preserve">[</w:t>
      </w:r>
      <w:hyperlink w:anchor="ref-KZc5ayvK">
        <w:r>
          <w:rPr>
            <w:rStyle w:val="Hyperlink"/>
          </w:rPr>
          <w:t xml:space="preserve">52</w:t>
        </w:r>
      </w:hyperlink>
      <w:r>
        <w:t xml:space="preserve">]</w:t>
      </w:r>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r>
        <w:t xml:space="preserve"> </w:t>
      </w:r>
      <w:r>
        <w:t xml:space="preserve">[</w:t>
      </w:r>
      <w:hyperlink w:anchor="ref-STn93hbH">
        <w:r>
          <w:rPr>
            <w:rStyle w:val="Hyperlink"/>
          </w:rPr>
          <w:t xml:space="preserve">53</w:t>
        </w:r>
      </w:hyperlink>
      <w:r>
        <w:t xml:space="preserve">]</w:t>
      </w:r>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90" w:name="references"/>
    <w:p>
      <w:pPr>
        <w:pStyle w:val="Heading2"/>
      </w:pPr>
      <w:r>
        <w:t xml:space="preserve">References</w:t>
      </w:r>
    </w:p>
    <w:bookmarkStart w:id="489" w:name="refs"/>
    <w:bookmarkStart w:id="386" w:name="ref-YD25diXo"/>
    <w:p>
      <w:pPr>
        <w:pStyle w:val="Bibliography"/>
      </w:pPr>
      <w:r>
        <w:t xml:space="preserve">1.</w:t>
      </w:r>
      <w:r>
        <w:t xml:space="preserve"> </w:t>
      </w:r>
      <w:r>
        <w:t xml:space="preserve">	</w:t>
      </w:r>
      <w:r>
        <w:t xml:space="preserve">Kuriakose SV, Pushker R, Hyde EM. Data-Driven Decisions for Accelerated Plant Breeding. Accelerated Plant Breeding, Volume 1. Springer International Publishing; 2020. pp. 89–119. doi:</w:t>
      </w:r>
      <w:hyperlink r:id="rId385">
        <w:r>
          <w:rPr>
            <w:rStyle w:val="Hyperlink"/>
          </w:rPr>
          <w:t xml:space="preserve">10.1007/978-3-030-41866-3_4</w:t>
        </w:r>
      </w:hyperlink>
    </w:p>
    <w:bookmarkEnd w:id="386"/>
    <w:bookmarkStart w:id="388" w:name="ref-QfGEJ6km"/>
    <w:p>
      <w:pPr>
        <w:pStyle w:val="Bibliography"/>
      </w:pPr>
      <w:r>
        <w:t xml:space="preserve">2.</w:t>
      </w:r>
      <w:r>
        <w:t xml:space="preserve"> </w:t>
      </w:r>
      <w:r>
        <w:t xml:space="preserve">	</w:t>
      </w:r>
      <w:r>
        <w:t xml:space="preserve">Selby P, Abbeloos R, Backlund JE, Basterrechea Salido M, Bauchet G, Benites-Alfaro OE, et al. BrAPI—an application programming interface for plant breeding applications. Wren J, editor. Bioinformatics. 2019;35: 4147–4155. doi:</w:t>
      </w:r>
      <w:hyperlink r:id="rId387">
        <w:r>
          <w:rPr>
            <w:rStyle w:val="Hyperlink"/>
          </w:rPr>
          <w:t xml:space="preserve">10.1093/bioinformatics/btz190</w:t>
        </w:r>
      </w:hyperlink>
    </w:p>
    <w:bookmarkEnd w:id="388"/>
    <w:bookmarkStart w:id="390" w:name="ref-4ued1AJ5"/>
    <w:p>
      <w:pPr>
        <w:pStyle w:val="Bibliography"/>
      </w:pPr>
      <w:r>
        <w:t xml:space="preserve">3.</w:t>
      </w:r>
      <w:r>
        <w:t xml:space="preserve"> </w:t>
      </w:r>
      <w:r>
        <w:t xml:space="preserve">	</w:t>
      </w:r>
      <w:r>
        <w:t xml:space="preserve">Ghouila A, Siwo GH, Entfellner J-BD, Panji S, Button-Simons KA, Davis SZ, et al. Hackathons as a means of accelerating scientific discoveries and knowledge transfer. Genome Res. 2018;28: 759–765. doi:</w:t>
      </w:r>
      <w:hyperlink r:id="rId389">
        <w:r>
          <w:rPr>
            <w:rStyle w:val="Hyperlink"/>
          </w:rPr>
          <w:t xml:space="preserve">10.1101/gr.228460.117</w:t>
        </w:r>
      </w:hyperlink>
    </w:p>
    <w:bookmarkEnd w:id="390"/>
    <w:bookmarkStart w:id="392" w:name="ref-MlqG0w6i"/>
    <w:p>
      <w:pPr>
        <w:pStyle w:val="Bibliography"/>
      </w:pPr>
      <w:r>
        <w:t xml:space="preserve">4.</w:t>
      </w:r>
      <w:r>
        <w:t xml:space="preserve"> </w:t>
      </w:r>
      <w:r>
        <w:t xml:space="preserve">	</w:t>
      </w:r>
      <w:r>
        <w:t xml:space="preserve">Rife TW, Poland JA. Field Book: An Open‐Source Application for Field Data Collection on Android. Crop Science. 2014;54: 1624–1627. doi:</w:t>
      </w:r>
      <w:hyperlink r:id="rId391">
        <w:r>
          <w:rPr>
            <w:rStyle w:val="Hyperlink"/>
          </w:rPr>
          <w:t xml:space="preserve">10.2135/cropsci2013.08.0579</w:t>
        </w:r>
      </w:hyperlink>
    </w:p>
    <w:bookmarkEnd w:id="392"/>
    <w:bookmarkStart w:id="394" w:name="ref-Ne0E9HbC"/>
    <w:p>
      <w:pPr>
        <w:pStyle w:val="Bibliography"/>
      </w:pPr>
      <w:r>
        <w:t xml:space="preserve">5.</w:t>
      </w:r>
      <w:r>
        <w:t xml:space="preserve"> </w:t>
      </w:r>
      <w:r>
        <w:t xml:space="preserve">	</w:t>
      </w:r>
      <w:r>
        <w:t xml:space="preserve">Raubach S, Schreiber M, Shaw PD. GridScore: a tool for accurate, cross-platform phenotypic data collection and visualization. BMC Bioinformatics. 2022;23. doi:</w:t>
      </w:r>
      <w:hyperlink r:id="rId393">
        <w:r>
          <w:rPr>
            <w:rStyle w:val="Hyperlink"/>
          </w:rPr>
          <w:t xml:space="preserve">10.1186/s12859-022-04755-2</w:t>
        </w:r>
      </w:hyperlink>
    </w:p>
    <w:bookmarkEnd w:id="394"/>
    <w:bookmarkStart w:id="396" w:name="ref-LCpCba21"/>
    <w:p>
      <w:pPr>
        <w:pStyle w:val="Bibliography"/>
      </w:pPr>
      <w:r>
        <w:t xml:space="preserve">6.</w:t>
      </w:r>
      <w:r>
        <w:t xml:space="preserve"> </w:t>
      </w:r>
      <w:r>
        <w:t xml:space="preserve">	</w:t>
      </w:r>
      <w:r>
        <w:t xml:space="preserve">Quirós C, de Sousa K, Steinke J, Madriz B, Laporte M-A, Arnaud E, et al. ClimMob: Software to support experimental citizen science in agriculture. Computers and Electronics in Agriculture. 2024;217: 108539. doi:</w:t>
      </w:r>
      <w:hyperlink r:id="rId395">
        <w:r>
          <w:rPr>
            <w:rStyle w:val="Hyperlink"/>
          </w:rPr>
          <w:t xml:space="preserve">10.1016/j.compag.2023.108539</w:t>
        </w:r>
      </w:hyperlink>
    </w:p>
    <w:bookmarkEnd w:id="396"/>
    <w:bookmarkStart w:id="398" w:name="ref-Dhlmsxng"/>
    <w:p>
      <w:pPr>
        <w:pStyle w:val="Bibliography"/>
      </w:pPr>
      <w:r>
        <w:t xml:space="preserve">7.</w:t>
      </w:r>
      <w:r>
        <w:t xml:space="preserve"> </w:t>
      </w:r>
      <w:r>
        <w:t xml:space="preserve">	</w:t>
      </w:r>
      <w:r>
        <w:t xml:space="preserve">Morales N, Kaczmar NS, Santantonio N, Gore MA, Mueller LA, Robbins KR. ImageBreed: Open‐access plant breeding web–database for image‐based phenotyping. The Plant Phenome Journal. 2020;3. doi:</w:t>
      </w:r>
      <w:hyperlink r:id="rId397">
        <w:r>
          <w:rPr>
            <w:rStyle w:val="Hyperlink"/>
          </w:rPr>
          <w:t xml:space="preserve">10.1002/ppj2.20004</w:t>
        </w:r>
      </w:hyperlink>
    </w:p>
    <w:bookmarkEnd w:id="398"/>
    <w:bookmarkStart w:id="400" w:name="ref-3TbA7PwE"/>
    <w:p>
      <w:pPr>
        <w:pStyle w:val="Bibliography"/>
      </w:pPr>
      <w:r>
        <w:t xml:space="preserve">8.</w:t>
      </w:r>
      <w:r>
        <w:t xml:space="preserve"> </w:t>
      </w:r>
      <w:r>
        <w:t xml:space="preserve">	</w:t>
      </w:r>
      <w:r>
        <w:t xml:space="preserve">Neveu P, Tireau A, Hilgert N, Nègre V, Mineau‐Cesari J, Brichet N, et al. Dealing with multi‐source and multi‐scale information in plant phenomics: the ontology‐driven Phenotyping Hybrid Information System. New Phytologist. 2018;221: 588–601. doi:</w:t>
      </w:r>
      <w:hyperlink r:id="rId399">
        <w:r>
          <w:rPr>
            <w:rStyle w:val="Hyperlink"/>
          </w:rPr>
          <w:t xml:space="preserve">10.1111/nph.15385</w:t>
        </w:r>
      </w:hyperlink>
    </w:p>
    <w:bookmarkEnd w:id="400"/>
    <w:bookmarkStart w:id="402" w:name="ref-9aM2mdF4"/>
    <w:p>
      <w:pPr>
        <w:pStyle w:val="Bibliography"/>
      </w:pPr>
      <w:r>
        <w:t xml:space="preserve">9.</w:t>
      </w:r>
      <w:r>
        <w:t xml:space="preserve"> </w:t>
      </w:r>
      <w:r>
        <w:t xml:space="preserve">	</w:t>
      </w:r>
      <w:r>
        <w:t xml:space="preserve">Available:</w:t>
      </w:r>
      <w:r>
        <w:t xml:space="preserve"> </w:t>
      </w:r>
      <w:hyperlink r:id="rId401">
        <w:r>
          <w:rPr>
            <w:rStyle w:val="Hyperlink"/>
          </w:rPr>
          <w:t xml:space="preserve">https://urgi.versailles.inrae.fr/faidare</w:t>
        </w:r>
      </w:hyperlink>
    </w:p>
    <w:bookmarkEnd w:id="402"/>
    <w:bookmarkStart w:id="404" w:name="ref-kWLsm7g6"/>
    <w:p>
      <w:pPr>
        <w:pStyle w:val="Bibliography"/>
      </w:pPr>
      <w:r>
        <w:t xml:space="preserve">10.</w:t>
      </w:r>
      <w:r>
        <w:t xml:space="preserve"> </w:t>
      </w:r>
      <w:r>
        <w:t xml:space="preserve">	</w:t>
      </w:r>
      <w:r>
        <w:t xml:space="preserve">Papoutsoglou EA, Faria D, Arend D, Arnaud E, Athanasiadis IN, Chaves I, et al. Enabling reusability of plant phenomic datasets with MIAPPE 1.1. New Phytologist. 2020;227: 260–273. doi:</w:t>
      </w:r>
      <w:hyperlink r:id="rId403">
        <w:r>
          <w:rPr>
            <w:rStyle w:val="Hyperlink"/>
          </w:rPr>
          <w:t xml:space="preserve">10.1111/nph.16544</w:t>
        </w:r>
      </w:hyperlink>
    </w:p>
    <w:bookmarkEnd w:id="404"/>
    <w:bookmarkStart w:id="406" w:name="ref-okf3YI9z"/>
    <w:p>
      <w:pPr>
        <w:pStyle w:val="Bibliography"/>
      </w:pPr>
      <w:r>
        <w:t xml:space="preserve">11.</w:t>
      </w:r>
      <w:r>
        <w:t xml:space="preserve"> </w:t>
      </w:r>
      <w:r>
        <w:t xml:space="preserve">	</w:t>
      </w:r>
      <w:r>
        <w:t xml:space="preserve">PIPPA - PSB Interface for Plant Phenotype Analysis. [cited 25 Sep 2024]. Available:</w:t>
      </w:r>
      <w:r>
        <w:t xml:space="preserve"> </w:t>
      </w:r>
      <w:hyperlink r:id="rId405">
        <w:r>
          <w:rPr>
            <w:rStyle w:val="Hyperlink"/>
          </w:rPr>
          <w:t xml:space="preserve">https://pippa.psb.ugent.be/</w:t>
        </w:r>
      </w:hyperlink>
    </w:p>
    <w:bookmarkEnd w:id="406"/>
    <w:bookmarkStart w:id="408" w:name="ref-r84WbX0P"/>
    <w:p>
      <w:pPr>
        <w:pStyle w:val="Bibliography"/>
      </w:pPr>
      <w:r>
        <w:t xml:space="preserve">12.</w:t>
      </w:r>
      <w:r>
        <w:t xml:space="preserve"> </w:t>
      </w:r>
      <w:r>
        <w:t xml:space="preserve">	</w:t>
      </w:r>
      <w:r>
        <w:t xml:space="preserve">Available:</w:t>
      </w:r>
      <w:r>
        <w:t xml:space="preserve"> </w:t>
      </w:r>
      <w:hyperlink r:id="rId407">
        <w:r>
          <w:rPr>
            <w:rStyle w:val="Hyperlink"/>
          </w:rPr>
          <w:t xml:space="preserve">https://www.wiwam.be</w:t>
        </w:r>
      </w:hyperlink>
    </w:p>
    <w:bookmarkEnd w:id="408"/>
    <w:bookmarkStart w:id="410" w:name="ref-al3Hd9Ml"/>
    <w:p>
      <w:pPr>
        <w:pStyle w:val="Bibliography"/>
      </w:pPr>
      <w:r>
        <w:t xml:space="preserve">13.</w:t>
      </w:r>
      <w:r>
        <w:t xml:space="preserve"> </w:t>
      </w:r>
      <w:r>
        <w:t xml:space="preserve">	</w:t>
      </w:r>
      <w:r>
        <w:t xml:space="preserve">Morales N, Ogbonna AC, Ellerbrock BJ, Bauchet GJ, Tantikanjana T, Tecle IY, et al. Breedbase: a digital ecosystem for modern plant breeding. Morris G, editor. G3 Genes|Genomes|Genetics. 2022;12. doi:</w:t>
      </w:r>
      <w:hyperlink r:id="rId409">
        <w:r>
          <w:rPr>
            <w:rStyle w:val="Hyperlink"/>
          </w:rPr>
          <w:t xml:space="preserve">10.1093/g3journal/jkac078</w:t>
        </w:r>
      </w:hyperlink>
    </w:p>
    <w:bookmarkEnd w:id="410"/>
    <w:bookmarkStart w:id="412" w:name="ref-84Yn3FWj"/>
    <w:p>
      <w:pPr>
        <w:pStyle w:val="Bibliography"/>
      </w:pPr>
      <w:r>
        <w:t xml:space="preserve">14.</w:t>
      </w:r>
      <w:r>
        <w:t xml:space="preserve"> </w:t>
      </w:r>
      <w:r>
        <w:t xml:space="preserve">	</w:t>
      </w:r>
      <w:r>
        <w:t xml:space="preserve">Ruas M, Guignon V, Sempere G, Sardos J, Hueber Y, Duvergey H, et al. MGIS: managing banana (Musa spp.) genetic resources information and high-throughput genotyping data. Database. 2017;2017. doi:</w:t>
      </w:r>
      <w:hyperlink r:id="rId411">
        <w:r>
          <w:rPr>
            <w:rStyle w:val="Hyperlink"/>
          </w:rPr>
          <w:t xml:space="preserve">10.1093/database/bax046</w:t>
        </w:r>
      </w:hyperlink>
    </w:p>
    <w:bookmarkEnd w:id="412"/>
    <w:bookmarkStart w:id="414" w:name="ref-PzHxvkzH"/>
    <w:p>
      <w:pPr>
        <w:pStyle w:val="Bibliography"/>
      </w:pPr>
      <w:r>
        <w:t xml:space="preserve">15.</w:t>
      </w:r>
      <w:r>
        <w:t xml:space="preserve"> </w:t>
      </w:r>
      <w:r>
        <w:t xml:space="preserve">	</w:t>
      </w:r>
      <w:r>
        <w:t xml:space="preserve">Danecek P, Auton A, Abecasis G, Albers CA, Banks E, DePristo MA, et al. The variant call format and VCFtools. Bioinformatics. 2011;27: 2156–2158. doi:</w:t>
      </w:r>
      <w:hyperlink r:id="rId413">
        <w:r>
          <w:rPr>
            <w:rStyle w:val="Hyperlink"/>
          </w:rPr>
          <w:t xml:space="preserve">10.1093/bioinformatics/btr330</w:t>
        </w:r>
      </w:hyperlink>
    </w:p>
    <w:bookmarkEnd w:id="414"/>
    <w:bookmarkStart w:id="416" w:name="ref-186zclKvK"/>
    <w:p>
      <w:pPr>
        <w:pStyle w:val="Bibliography"/>
      </w:pPr>
      <w:r>
        <w:t xml:space="preserve">16.</w:t>
      </w:r>
      <w:r>
        <w:t xml:space="preserve"> </w:t>
      </w:r>
      <w:r>
        <w:t xml:space="preserve">	</w:t>
      </w:r>
      <w:r>
        <w:t xml:space="preserve">ga4gh-metadata/SchemaBlocks. GA4GH Metadata Schema Development Team; 2023. Available:</w:t>
      </w:r>
      <w:r>
        <w:t xml:space="preserve"> </w:t>
      </w:r>
      <w:hyperlink r:id="rId415">
        <w:r>
          <w:rPr>
            <w:rStyle w:val="Hyperlink"/>
          </w:rPr>
          <w:t xml:space="preserve">https://github.com/ga4gh-metadata/SchemaBlocks</w:t>
        </w:r>
      </w:hyperlink>
    </w:p>
    <w:bookmarkEnd w:id="416"/>
    <w:bookmarkStart w:id="418" w:name="ref-9fRbvOj2"/>
    <w:p>
      <w:pPr>
        <w:pStyle w:val="Bibliography"/>
      </w:pPr>
      <w:r>
        <w:t xml:space="preserve">17.</w:t>
      </w:r>
      <w:r>
        <w:t xml:space="preserve"> </w:t>
      </w:r>
      <w:r>
        <w:t xml:space="preserve">	</w:t>
      </w:r>
      <w:r>
        <w:t xml:space="preserve">König P, Beier S, Mascher M, Stein N, Lange M, Scholz U. DivBrowse—interactive visualization and exploratory data analysis of variant call matrices. GigaScience. 2022;12. doi:</w:t>
      </w:r>
      <w:hyperlink r:id="rId417">
        <w:r>
          <w:rPr>
            <w:rStyle w:val="Hyperlink"/>
          </w:rPr>
          <w:t xml:space="preserve">10.1093/gigascience/giad025</w:t>
        </w:r>
      </w:hyperlink>
    </w:p>
    <w:bookmarkEnd w:id="418"/>
    <w:bookmarkStart w:id="420" w:name="ref-nEsJGUWa"/>
    <w:p>
      <w:pPr>
        <w:pStyle w:val="Bibliography"/>
      </w:pPr>
      <w:r>
        <w:t xml:space="preserve">18.</w:t>
      </w:r>
      <w:r>
        <w:t xml:space="preserve"> </w:t>
      </w:r>
      <w:r>
        <w:t xml:space="preserve">	</w:t>
      </w:r>
      <w:r>
        <w:t xml:space="preserve">Camacho C, Coulouris G, Avagyan V, Ma N, Papadopoulos J, Bealer K, et al. BLAST+: architecture and applications. BMC Bioinformatics. 2009;10. doi:</w:t>
      </w:r>
      <w:hyperlink r:id="rId419">
        <w:r>
          <w:rPr>
            <w:rStyle w:val="Hyperlink"/>
          </w:rPr>
          <w:t xml:space="preserve">10.1186/1471-2105-10-421</w:t>
        </w:r>
      </w:hyperlink>
    </w:p>
    <w:bookmarkEnd w:id="420"/>
    <w:bookmarkStart w:id="422" w:name="ref-1HIbyz3rL"/>
    <w:p>
      <w:pPr>
        <w:pStyle w:val="Bibliography"/>
      </w:pPr>
      <w:r>
        <w:t xml:space="preserve">19.</w:t>
      </w:r>
      <w:r>
        <w:t xml:space="preserve"> </w:t>
      </w:r>
      <w:r>
        <w:t xml:space="preserve">	</w:t>
      </w:r>
      <w:r>
        <w:t xml:space="preserve">Cock PJA, Chilton JM, Grüning B, Johnson JE, Soranzo N. NCBI BLAST+ integrated into Galaxy. GigaSci. 2015;4. doi:</w:t>
      </w:r>
      <w:hyperlink r:id="rId421">
        <w:r>
          <w:rPr>
            <w:rStyle w:val="Hyperlink"/>
          </w:rPr>
          <w:t xml:space="preserve">10.1186/s13742-015-0080-7</w:t>
        </w:r>
      </w:hyperlink>
    </w:p>
    <w:bookmarkEnd w:id="422"/>
    <w:bookmarkStart w:id="424" w:name="ref-Wz8l0HlN"/>
    <w:p>
      <w:pPr>
        <w:pStyle w:val="Bibliography"/>
      </w:pPr>
      <w:r>
        <w:t xml:space="preserve">20.</w:t>
      </w:r>
      <w:r>
        <w:t xml:space="preserve"> </w:t>
      </w:r>
      <w:r>
        <w:t xml:space="preserve">	</w:t>
      </w:r>
      <w:r>
        <w:t xml:space="preserve">Milne I, Shaw P, Stephen G, Bayer M, Cardle L, Thomas WTB, et al. Flapjack—graphical genotype visualization. Bioinformatics. 2010;26: 3133–3134. doi:</w:t>
      </w:r>
      <w:hyperlink r:id="rId423">
        <w:r>
          <w:rPr>
            <w:rStyle w:val="Hyperlink"/>
          </w:rPr>
          <w:t xml:space="preserve">10.1093/bioinformatics/btq580</w:t>
        </w:r>
      </w:hyperlink>
    </w:p>
    <w:bookmarkEnd w:id="424"/>
    <w:bookmarkStart w:id="426" w:name="ref-AVjkjraw"/>
    <w:p>
      <w:pPr>
        <w:pStyle w:val="Bibliography"/>
      </w:pPr>
      <w:r>
        <w:t xml:space="preserve">21.</w:t>
      </w:r>
      <w:r>
        <w:t xml:space="preserve"> </w:t>
      </w:r>
      <w:r>
        <w:t xml:space="preserve">	</w:t>
      </w:r>
      <w:r>
        <w:t xml:space="preserve">Sempéré G, Pétel A, Rouard M, Frouin J, Hueber Y, De Bellis F, et al. Gigwa v2—Extended and improved genotype investigator. GigaScience. 2019;8. doi:</w:t>
      </w:r>
      <w:hyperlink r:id="rId425">
        <w:r>
          <w:rPr>
            <w:rStyle w:val="Hyperlink"/>
          </w:rPr>
          <w:t xml:space="preserve">10.1093/gigascience/giz051</w:t>
        </w:r>
      </w:hyperlink>
    </w:p>
    <w:bookmarkEnd w:id="426"/>
    <w:bookmarkStart w:id="428" w:name="ref-bvSFyrtt"/>
    <w:p>
      <w:pPr>
        <w:pStyle w:val="Bibliography"/>
      </w:pPr>
      <w:r>
        <w:t xml:space="preserve">22.</w:t>
      </w:r>
      <w:r>
        <w:t xml:space="preserve"> </w:t>
      </w:r>
      <w:r>
        <w:t xml:space="preserve">	</w:t>
      </w:r>
      <w:r>
        <w:t xml:space="preserve">Rouard M, Sardos J, Sempéré G, Breton C, Guignon V, Van den Houwe I, et al. A digital catalog of high‐density markers for banana germplasm collections. Plants People Planet. 2021;4: 61–67. doi:</w:t>
      </w:r>
      <w:hyperlink r:id="rId427">
        <w:r>
          <w:rPr>
            <w:rStyle w:val="Hyperlink"/>
          </w:rPr>
          <w:t xml:space="preserve">10.1002/ppp3.10187</w:t>
        </w:r>
      </w:hyperlink>
    </w:p>
    <w:bookmarkEnd w:id="428"/>
    <w:bookmarkStart w:id="430" w:name="ref-VFIpO8nU"/>
    <w:p>
      <w:pPr>
        <w:pStyle w:val="Bibliography"/>
      </w:pPr>
      <w:r>
        <w:t xml:space="preserve">23.</w:t>
      </w:r>
      <w:r>
        <w:t xml:space="preserve"> </w:t>
      </w:r>
      <w:r>
        <w:t xml:space="preserve">	</w:t>
      </w:r>
      <w:r>
        <w:t xml:space="preserve">Bradbury PJ, Casstevens T, Jensen SE, Johnson LC, Miller ZR, Monier B, et al. The Practical Haplotype Graph, a platform for storing and using pangenomes for imputation. Kendziorski C, editor. Bioinformatics. 2022;38: 3698–3702. doi:</w:t>
      </w:r>
      <w:hyperlink r:id="rId429">
        <w:r>
          <w:rPr>
            <w:rStyle w:val="Hyperlink"/>
          </w:rPr>
          <w:t xml:space="preserve">10.1093/bioinformatics/btac410</w:t>
        </w:r>
      </w:hyperlink>
    </w:p>
    <w:bookmarkEnd w:id="430"/>
    <w:bookmarkStart w:id="432" w:name="ref-S1uQPBPG"/>
    <w:p>
      <w:pPr>
        <w:pStyle w:val="Bibliography"/>
      </w:pPr>
      <w:r>
        <w:t xml:space="preserve">24.</w:t>
      </w:r>
      <w:r>
        <w:t xml:space="preserve"> </w:t>
      </w:r>
      <w:r>
        <w:t xml:space="preserve">	</w:t>
      </w:r>
      <w:r>
        <w:t xml:space="preserve">Engels JMM, Ebert AW. A Critical Review of the Current Global Ex Situ Conservation System for Plant Agrobiodiversity. I. History of the Development of the Global System in the Context of the Political/Legal Framework and Its Major Conservation Components. Plants. 2021;10: 1557. doi:</w:t>
      </w:r>
      <w:hyperlink r:id="rId431">
        <w:r>
          <w:rPr>
            <w:rStyle w:val="Hyperlink"/>
          </w:rPr>
          <w:t xml:space="preserve">10.3390/plants10081557</w:t>
        </w:r>
      </w:hyperlink>
    </w:p>
    <w:bookmarkEnd w:id="432"/>
    <w:bookmarkStart w:id="434" w:name="ref-USun3Z8l"/>
    <w:p>
      <w:pPr>
        <w:pStyle w:val="Bibliography"/>
      </w:pPr>
      <w:r>
        <w:t xml:space="preserve">25.</w:t>
      </w:r>
      <w:r>
        <w:t xml:space="preserve"> </w:t>
      </w:r>
      <w:r>
        <w:t xml:space="preserve">	</w:t>
      </w:r>
      <w:r>
        <w:t xml:space="preserve">Fu Y. The Vulnerability of Plant Genetic Resources Conserved Ex Situ. Crop Science. 2017;57: 2314–2328. doi:</w:t>
      </w:r>
      <w:hyperlink r:id="rId433">
        <w:r>
          <w:rPr>
            <w:rStyle w:val="Hyperlink"/>
          </w:rPr>
          <w:t xml:space="preserve">10.2135/cropsci2017.01.0014</w:t>
        </w:r>
      </w:hyperlink>
    </w:p>
    <w:bookmarkEnd w:id="434"/>
    <w:bookmarkStart w:id="435" w:name="ref-i0Aj9IwD"/>
    <w:p>
      <w:pPr>
        <w:pStyle w:val="Bibliography"/>
      </w:pPr>
      <w:r>
        <w:t xml:space="preserve">26.</w:t>
      </w:r>
      <w:r>
        <w:t xml:space="preserve"> </w:t>
      </w:r>
      <w:r>
        <w:t xml:space="preserve">	</w:t>
      </w:r>
      <w:r>
        <w:t xml:space="preserve">Global Information System. [cited 25 Sep 2024]. Available:</w:t>
      </w:r>
      <w:r>
        <w:t xml:space="preserve"> </w:t>
      </w:r>
      <w:hyperlink r:id="rId307">
        <w:r>
          <w:rPr>
            <w:rStyle w:val="Hyperlink"/>
          </w:rPr>
          <w:t xml:space="preserve">https://glis.fao.org/glis/</w:t>
        </w:r>
      </w:hyperlink>
    </w:p>
    <w:bookmarkEnd w:id="435"/>
    <w:bookmarkStart w:id="437" w:name="ref-6DjakjNS"/>
    <w:p>
      <w:pPr>
        <w:pStyle w:val="Bibliography"/>
      </w:pPr>
      <w:r>
        <w:t xml:space="preserve">27.</w:t>
      </w:r>
      <w:r>
        <w:t xml:space="preserve"> </w:t>
      </w:r>
      <w:r>
        <w:t xml:space="preserve">	</w:t>
      </w:r>
      <w:r>
        <w:t xml:space="preserve">Wilkinson MD, Dumontier M, Aalbersberg IjJ, Appleton G, Axton M, Baak A, et al. The FAIR Guiding Principles for scientific data management and stewardship. Sci Data. 2016;3. doi:</w:t>
      </w:r>
      <w:hyperlink r:id="rId436">
        <w:r>
          <w:rPr>
            <w:rStyle w:val="Hyperlink"/>
          </w:rPr>
          <w:t xml:space="preserve">10.1038/sdata.2016.18</w:t>
        </w:r>
      </w:hyperlink>
    </w:p>
    <w:bookmarkEnd w:id="437"/>
    <w:bookmarkStart w:id="439" w:name="ref-31NWAHsO"/>
    <w:p>
      <w:pPr>
        <w:pStyle w:val="Bibliography"/>
      </w:pPr>
      <w:r>
        <w:t xml:space="preserve">28.</w:t>
      </w:r>
      <w:r>
        <w:t xml:space="preserve"> </w:t>
      </w:r>
      <w:r>
        <w:t xml:space="preserve">	</w:t>
      </w:r>
      <w:r>
        <w:t xml:space="preserve">Beier S, Fiebig A, Pommier C, Liyanage I, Lange M, Kersey PJ, et al. Recommendations for the formatting of Variant Call Format (VCF) files to make plant genotyping data FAIR. F1000Res. 2022;11: 231. doi:</w:t>
      </w:r>
      <w:hyperlink r:id="rId438">
        <w:r>
          <w:rPr>
            <w:rStyle w:val="Hyperlink"/>
          </w:rPr>
          <w:t xml:space="preserve">10.12688/f1000research.109080.2</w:t>
        </w:r>
      </w:hyperlink>
    </w:p>
    <w:bookmarkEnd w:id="439"/>
    <w:bookmarkStart w:id="441" w:name="ref-QRzg4OSs"/>
    <w:p>
      <w:pPr>
        <w:pStyle w:val="Bibliography"/>
      </w:pPr>
      <w:r>
        <w:t xml:space="preserve">29.</w:t>
      </w:r>
      <w:r>
        <w:t xml:space="preserve"> </w:t>
      </w:r>
      <w:r>
        <w:t xml:space="preserve">	</w:t>
      </w:r>
      <w:r>
        <w:t xml:space="preserve">Adam-Blondon A-F, Alaux M, Brouwer M, Kersey P, Lange M, Le Floch E, et al. AGENT Guidelines for dataflow. Zenodo; 2024. doi:</w:t>
      </w:r>
      <w:hyperlink r:id="rId440">
        <w:r>
          <w:rPr>
            <w:rStyle w:val="Hyperlink"/>
          </w:rPr>
          <w:t xml:space="preserve">10.5281/zenodo.12625360</w:t>
        </w:r>
      </w:hyperlink>
    </w:p>
    <w:bookmarkEnd w:id="441"/>
    <w:bookmarkStart w:id="443" w:name="ref-6VGwG9za"/>
    <w:p>
      <w:pPr>
        <w:pStyle w:val="Bibliography"/>
      </w:pPr>
      <w:r>
        <w:t xml:space="preserve">30.</w:t>
      </w:r>
      <w:r>
        <w:t xml:space="preserve"> </w:t>
      </w:r>
      <w:r>
        <w:t xml:space="preserve">	</w:t>
      </w:r>
      <w:r>
        <w:t xml:space="preserve">Street K, Street K. Genebank mining with FIGS, the Focused Identification of Germplasm Strategy. Unknown. 2017. doi:</w:t>
      </w:r>
      <w:hyperlink r:id="rId442">
        <w:r>
          <w:rPr>
            <w:rStyle w:val="Hyperlink"/>
          </w:rPr>
          <w:t xml:space="preserve">10.22004/ag.econ.266624</w:t>
        </w:r>
      </w:hyperlink>
    </w:p>
    <w:bookmarkEnd w:id="443"/>
    <w:bookmarkStart w:id="445" w:name="ref-pk5OwSG6"/>
    <w:p>
      <w:pPr>
        <w:pStyle w:val="Bibliography"/>
      </w:pPr>
      <w:r>
        <w:t xml:space="preserve">31.</w:t>
      </w:r>
      <w:r>
        <w:t xml:space="preserve"> </w:t>
      </w:r>
      <w:r>
        <w:t xml:space="preserve">	</w:t>
      </w:r>
      <w:r>
        <w:t xml:space="preserve">Kotni P, van Hintum T, Maggioni L, Oppermann M, Weise S. EURISCO update 2023: the European Search Catalogue for Plant Genetic Resources, a pillar for documentation of genebank material. Nucleic Acids Research. 2022;51: D1465–D1469. doi:</w:t>
      </w:r>
      <w:hyperlink r:id="rId444">
        <w:r>
          <w:rPr>
            <w:rStyle w:val="Hyperlink"/>
          </w:rPr>
          <w:t xml:space="preserve">10.1093/nar/gkac852</w:t>
        </w:r>
      </w:hyperlink>
    </w:p>
    <w:bookmarkEnd w:id="445"/>
    <w:bookmarkStart w:id="447" w:name="ref-m7yuFGsd"/>
    <w:p>
      <w:pPr>
        <w:pStyle w:val="Bibliography"/>
      </w:pPr>
      <w:r>
        <w:t xml:space="preserve">32.</w:t>
      </w:r>
      <w:r>
        <w:t xml:space="preserve"> </w:t>
      </w:r>
      <w:r>
        <w:t xml:space="preserve">	</w:t>
      </w:r>
      <w:r>
        <w:t xml:space="preserve">Pommier C, Michotey C, Cornut G, Roumet P, Duchêne E, Flores R, et al. Applying FAIR Principles to Plant Phenotypic Data Management in GnpIS. Plant Phenomics. 2019;2019. doi:</w:t>
      </w:r>
      <w:hyperlink r:id="rId446">
        <w:r>
          <w:rPr>
            <w:rStyle w:val="Hyperlink"/>
          </w:rPr>
          <w:t xml:space="preserve">10.34133/2019/1671403</w:t>
        </w:r>
      </w:hyperlink>
    </w:p>
    <w:bookmarkEnd w:id="447"/>
    <w:bookmarkStart w:id="449" w:name="ref-15XwZ2Vb0"/>
    <w:p>
      <w:pPr>
        <w:pStyle w:val="Bibliography"/>
      </w:pPr>
      <w:r>
        <w:t xml:space="preserve">33.</w:t>
      </w:r>
      <w:r>
        <w:t xml:space="preserve"> </w:t>
      </w:r>
      <w:r>
        <w:t xml:space="preserve">	</w:t>
      </w:r>
      <w:r>
        <w:t xml:space="preserve">Adam-Blondon A-F, Alaux M, Durand S, Letellier T, Merceron G, Mohellibi N, et al. Mining Plant Genomic and Genetic Data Using the GnpIS Information System. Methods in Molecular Biology. Springer New York; 2016. pp. 103–117. doi:</w:t>
      </w:r>
      <w:hyperlink r:id="rId448">
        <w:r>
          <w:rPr>
            <w:rStyle w:val="Hyperlink"/>
          </w:rPr>
          <w:t xml:space="preserve">10.1007/978-1-4939-6658-5_5</w:t>
        </w:r>
      </w:hyperlink>
    </w:p>
    <w:bookmarkEnd w:id="449"/>
    <w:bookmarkStart w:id="451" w:name="ref-X22hwO1v"/>
    <w:p>
      <w:pPr>
        <w:pStyle w:val="Bibliography"/>
      </w:pPr>
      <w:r>
        <w:t xml:space="preserve">34.</w:t>
      </w:r>
      <w:r>
        <w:t xml:space="preserve"> </w:t>
      </w:r>
      <w:r>
        <w:t xml:space="preserve">	</w:t>
      </w:r>
      <w:r>
        <w:t xml:space="preserve">Shaw PD, Graham M, Kennedy J, Milne I, Marshall DF. Helium: visualization of large scale plant pedigrees. BMC Bioinformatics. 2014;15. doi:</w:t>
      </w:r>
      <w:hyperlink r:id="rId450">
        <w:r>
          <w:rPr>
            <w:rStyle w:val="Hyperlink"/>
          </w:rPr>
          <w:t xml:space="preserve">10.1186/1471-2105-15-259</w:t>
        </w:r>
      </w:hyperlink>
    </w:p>
    <w:bookmarkEnd w:id="451"/>
    <w:bookmarkStart w:id="453" w:name="ref-1CKLIIaug"/>
    <w:p>
      <w:pPr>
        <w:pStyle w:val="Bibliography"/>
      </w:pPr>
      <w:r>
        <w:t xml:space="preserve">35.</w:t>
      </w:r>
      <w:r>
        <w:t xml:space="preserve"> </w:t>
      </w:r>
      <w:r>
        <w:t xml:space="preserve">	</w:t>
      </w:r>
      <w:r>
        <w:t xml:space="preserve">Paterson T, Law A. G&lt;scp&gt;enotypechecker&lt;/scp&gt;: an interactive tool for checking the inheritance consistency of genotyped pedigrees. Animal Genetics. 2011;42: 560–562. doi:</w:t>
      </w:r>
      <w:hyperlink r:id="rId452">
        <w:r>
          <w:rPr>
            <w:rStyle w:val="Hyperlink"/>
          </w:rPr>
          <w:t xml:space="preserve">10.1111/j.1365-2052.2011.02183.x</w:t>
        </w:r>
      </w:hyperlink>
    </w:p>
    <w:bookmarkEnd w:id="453"/>
    <w:bookmarkStart w:id="455" w:name="ref-1HmEHgW8h"/>
    <w:p>
      <w:pPr>
        <w:pStyle w:val="Bibliography"/>
      </w:pPr>
      <w:r>
        <w:t xml:space="preserve">36.</w:t>
      </w:r>
      <w:r>
        <w:t xml:space="preserve"> </w:t>
      </w:r>
      <w:r>
        <w:t xml:space="preserve">	</w:t>
      </w:r>
      <w:r>
        <w:t xml:space="preserve">Bernád V, Al-Tamimi N, Langan P, Gillespie G, Dempsey T, Henchy J, et al. Unlocking the genetic diversity and population structure of the newly introduced two-row spring European HerItage Barley collecTion (ExHIBiT). Front Plant Sci. 2024;15. doi:</w:t>
      </w:r>
      <w:hyperlink r:id="rId454">
        <w:r>
          <w:rPr>
            <w:rStyle w:val="Hyperlink"/>
          </w:rPr>
          <w:t xml:space="preserve">10.3389/fpls.2024.1268847</w:t>
        </w:r>
      </w:hyperlink>
    </w:p>
    <w:bookmarkEnd w:id="455"/>
    <w:bookmarkStart w:id="457" w:name="ref-x8DIc6zn"/>
    <w:p>
      <w:pPr>
        <w:pStyle w:val="Bibliography"/>
      </w:pPr>
      <w:r>
        <w:t xml:space="preserve">37.</w:t>
      </w:r>
      <w:r>
        <w:t xml:space="preserve"> </w:t>
      </w:r>
      <w:r>
        <w:t xml:space="preserve">	</w:t>
      </w:r>
      <w:r>
        <w:t xml:space="preserve">Elsner-Gearing F, Kretzschmar P, Shultz S, Pilgrim M, Dawson DA, Horsburgh GJ, et al. Admixture and reproductive skew shape the conservation value of ex situ populations of the Critically Endangered eastern black rhino. Conserv Genet. 2024;25: 897–910. doi:</w:t>
      </w:r>
      <w:hyperlink r:id="rId456">
        <w:r>
          <w:rPr>
            <w:rStyle w:val="Hyperlink"/>
          </w:rPr>
          <w:t xml:space="preserve">10.1007/s10592-024-01611-z</w:t>
        </w:r>
      </w:hyperlink>
    </w:p>
    <w:bookmarkEnd w:id="457"/>
    <w:bookmarkStart w:id="459" w:name="ref-JWi7AKhJ"/>
    <w:p>
      <w:pPr>
        <w:pStyle w:val="Bibliography"/>
      </w:pPr>
      <w:r>
        <w:t xml:space="preserve">38.</w:t>
      </w:r>
      <w:r>
        <w:t xml:space="preserve"> </w:t>
      </w:r>
      <w:r>
        <w:t xml:space="preserve">	</w:t>
      </w:r>
      <w:r>
        <w:t xml:space="preserve">Van den houwe I, Chase R, Sardos J, Ruas M, Kempenaers E, Guignon V, et al. Safeguarding and using global banana diversity: a holistic approach. CABI Agric Biosci. 2020;1. doi:</w:t>
      </w:r>
      <w:hyperlink r:id="rId458">
        <w:r>
          <w:rPr>
            <w:rStyle w:val="Hyperlink"/>
          </w:rPr>
          <w:t xml:space="preserve">10.1186/s43170-020-00015-6</w:t>
        </w:r>
      </w:hyperlink>
    </w:p>
    <w:bookmarkEnd w:id="459"/>
    <w:bookmarkStart w:id="461" w:name="ref-ArPSsaJQ"/>
    <w:p>
      <w:pPr>
        <w:pStyle w:val="Bibliography"/>
      </w:pPr>
      <w:r>
        <w:t xml:space="preserve">39.</w:t>
      </w:r>
      <w:r>
        <w:t xml:space="preserve"> </w:t>
      </w:r>
      <w:r>
        <w:t xml:space="preserve">	</w:t>
      </w:r>
      <w:r>
        <w:t xml:space="preserve">Jung S, Lee T, Gasic K, Campbell BT, Yu J, Humann J, et al. The Breeding Information Management System (BIMS): an online resource for crop breeding. Database. 2021;2021. doi:</w:t>
      </w:r>
      <w:hyperlink r:id="rId460">
        <w:r>
          <w:rPr>
            <w:rStyle w:val="Hyperlink"/>
          </w:rPr>
          <w:t xml:space="preserve">10.1093/database/baab054</w:t>
        </w:r>
      </w:hyperlink>
    </w:p>
    <w:bookmarkEnd w:id="461"/>
    <w:bookmarkStart w:id="463" w:name="ref-VndIxnl3"/>
    <w:p>
      <w:pPr>
        <w:pStyle w:val="Bibliography"/>
      </w:pPr>
      <w:r>
        <w:t xml:space="preserve">40.</w:t>
      </w:r>
      <w:r>
        <w:t xml:space="preserve"> </w:t>
      </w:r>
      <w:r>
        <w:t xml:space="preserve">	</w:t>
      </w:r>
      <w:r>
        <w:t xml:space="preserve">Shrestha R, Arnaud E, Mauleon R, Senger M, Davenport GF, Hancock D, et al. Multifunctional crop trait ontology for breeders' data: field book, annotation, data discovery and semantic enrichment of the literature. AoB PLANTS. 2010;2010. doi:</w:t>
      </w:r>
      <w:hyperlink r:id="rId462">
        <w:r>
          <w:rPr>
            <w:rStyle w:val="Hyperlink"/>
          </w:rPr>
          <w:t xml:space="preserve">10.1093/aobpla/plq008</w:t>
        </w:r>
      </w:hyperlink>
    </w:p>
    <w:bookmarkEnd w:id="463"/>
    <w:bookmarkStart w:id="465" w:name="ref-eaDrNpsp"/>
    <w:p>
      <w:pPr>
        <w:pStyle w:val="Bibliography"/>
      </w:pPr>
      <w:r>
        <w:t xml:space="preserve">41.</w:t>
      </w:r>
      <w:r>
        <w:t xml:space="preserve"> </w:t>
      </w:r>
      <w:r>
        <w:t xml:space="preserve">	</w:t>
      </w:r>
      <w:r>
        <w:t xml:space="preserve">Jung S, Lee T, Cheng C-H, Buble K, Zheng P, Yu J, et al. 15 years of GDR: New data and functionality in the Genome Database for Rosaceae. Nucleic Acids Research. 2018;47: D1137–D1145. doi:</w:t>
      </w:r>
      <w:hyperlink r:id="rId464">
        <w:r>
          <w:rPr>
            <w:rStyle w:val="Hyperlink"/>
          </w:rPr>
          <w:t xml:space="preserve">10.1093/nar/gky1000</w:t>
        </w:r>
      </w:hyperlink>
    </w:p>
    <w:bookmarkEnd w:id="465"/>
    <w:bookmarkStart w:id="467" w:name="ref-dcg0274X"/>
    <w:p>
      <w:pPr>
        <w:pStyle w:val="Bibliography"/>
      </w:pPr>
      <w:r>
        <w:t xml:space="preserve">42.</w:t>
      </w:r>
      <w:r>
        <w:t xml:space="preserve"> </w:t>
      </w:r>
      <w:r>
        <w:t xml:space="preserve">	</w:t>
      </w:r>
      <w:r>
        <w:t xml:space="preserve">Yu J, Jung S, Cheng C-H, Lee T, Zheng P, Buble K, et al. CottonGen: The Community Database for Cotton Genomics, Genetics, and Breeding Research. Plants. 2021;10: 2805. doi:</w:t>
      </w:r>
      <w:hyperlink r:id="rId466">
        <w:r>
          <w:rPr>
            <w:rStyle w:val="Hyperlink"/>
          </w:rPr>
          <w:t xml:space="preserve">10.3390/plants10122805</w:t>
        </w:r>
      </w:hyperlink>
    </w:p>
    <w:bookmarkEnd w:id="467"/>
    <w:bookmarkStart w:id="469" w:name="ref-AD7jmfXG"/>
    <w:p>
      <w:pPr>
        <w:pStyle w:val="Bibliography"/>
      </w:pPr>
      <w:r>
        <w:t xml:space="preserve">43.</w:t>
      </w:r>
      <w:r>
        <w:t xml:space="preserve"> </w:t>
      </w:r>
      <w:r>
        <w:t xml:space="preserve">	</w:t>
      </w:r>
      <w:r>
        <w:t xml:space="preserve">Home. In: Breeder Genomics Hub [Internet]. [cited 25 Sep 2024]. Available:</w:t>
      </w:r>
      <w:r>
        <w:t xml:space="preserve"> </w:t>
      </w:r>
      <w:hyperlink r:id="rId468">
        <w:r>
          <w:rPr>
            <w:rStyle w:val="Hyperlink"/>
          </w:rPr>
          <w:t xml:space="preserve">https://hub.maizegenetics.net/</w:t>
        </w:r>
      </w:hyperlink>
    </w:p>
    <w:bookmarkEnd w:id="469"/>
    <w:bookmarkStart w:id="471" w:name="ref-1FDf25dDD"/>
    <w:p>
      <w:pPr>
        <w:pStyle w:val="Bibliography"/>
      </w:pPr>
      <w:r>
        <w:t xml:space="preserve">44.</w:t>
      </w:r>
      <w:r>
        <w:t xml:space="preserve"> </w:t>
      </w:r>
      <w:r>
        <w:t xml:space="preserve">	</w:t>
      </w:r>
      <w:r>
        <w:t xml:space="preserve">Morales N, Bauchet GJ, Tantikanjana T, Powell AF, Ellerbrock BJ, Tecle IY, et al. High density genotype storage for plant breeding in the Chado schema of Breedbase. Wang J, editor. PLoS ONE. 2020;15: e0240059. doi:</w:t>
      </w:r>
      <w:hyperlink r:id="rId470">
        <w:r>
          <w:rPr>
            <w:rStyle w:val="Hyperlink"/>
          </w:rPr>
          <w:t xml:space="preserve">10.1371/journal.pone.0240059</w:t>
        </w:r>
      </w:hyperlink>
    </w:p>
    <w:bookmarkEnd w:id="471"/>
    <w:bookmarkStart w:id="473" w:name="ref-zuq8ri4R"/>
    <w:p>
      <w:pPr>
        <w:pStyle w:val="Bibliography"/>
      </w:pPr>
      <w:r>
        <w:t xml:space="preserve">45.</w:t>
      </w:r>
      <w:r>
        <w:t xml:space="preserve"> </w:t>
      </w:r>
      <w:r>
        <w:t xml:space="preserve">	</w:t>
      </w:r>
      <w:r>
        <w:t xml:space="preserve">Meuwissen THE, Hayes BJ, Goddard ME. Prediction of Total Genetic Value Using Genome-Wide Dense Marker Maps. Genetics. 2001;157: 1819–1829. doi:</w:t>
      </w:r>
      <w:hyperlink r:id="rId472">
        <w:r>
          <w:rPr>
            <w:rStyle w:val="Hyperlink"/>
          </w:rPr>
          <w:t xml:space="preserve">10.1093/genetics/157.4.1819</w:t>
        </w:r>
      </w:hyperlink>
    </w:p>
    <w:bookmarkEnd w:id="473"/>
    <w:bookmarkStart w:id="475" w:name="ref-a9uPTJgO"/>
    <w:p>
      <w:pPr>
        <w:pStyle w:val="Bibliography"/>
      </w:pPr>
      <w:r>
        <w:t xml:space="preserve">46.</w:t>
      </w:r>
      <w:r>
        <w:t xml:space="preserve"> </w:t>
      </w:r>
      <w:r>
        <w:t xml:space="preserve">	</w:t>
      </w:r>
      <w:r>
        <w:t xml:space="preserve">Khaled Al-Shamaa, Johan Steven Aparicio, Nick, icarda-git. icarda-git/QBMS: QBMS Version 1.0.0. Zenodo; 2024. doi:</w:t>
      </w:r>
      <w:hyperlink r:id="rId474">
        <w:r>
          <w:rPr>
            <w:rStyle w:val="Hyperlink"/>
          </w:rPr>
          <w:t xml:space="preserve">10.5281/zenodo.10791627</w:t>
        </w:r>
      </w:hyperlink>
    </w:p>
    <w:bookmarkEnd w:id="475"/>
    <w:bookmarkStart w:id="477" w:name="ref-HC5no0wP"/>
    <w:p>
      <w:pPr>
        <w:pStyle w:val="Bibliography"/>
      </w:pPr>
      <w:r>
        <w:t xml:space="preserve">47.</w:t>
      </w:r>
      <w:r>
        <w:t xml:space="preserve"> </w:t>
      </w:r>
      <w:r>
        <w:t xml:space="preserve">	</w:t>
      </w:r>
      <w:r>
        <w:t xml:space="preserve">Pommier C. FAIR Plant Phenomics Data Management Tools and Guidelines. 2024. Available:</w:t>
      </w:r>
      <w:r>
        <w:t xml:space="preserve"> </w:t>
      </w:r>
      <w:hyperlink r:id="rId476">
        <w:r>
          <w:rPr>
            <w:rStyle w:val="Hyperlink"/>
          </w:rPr>
          <w:t xml:space="preserve">https://hal.science/hal-04425516</w:t>
        </w:r>
      </w:hyperlink>
    </w:p>
    <w:bookmarkEnd w:id="477"/>
    <w:bookmarkStart w:id="478" w:name="ref-smRihyhY"/>
    <w:p>
      <w:pPr>
        <w:pStyle w:val="Bibliography"/>
      </w:pPr>
      <w:r>
        <w:t xml:space="preserve">48.</w:t>
      </w:r>
      <w:r>
        <w:t xml:space="preserve"> </w:t>
      </w:r>
      <w:r>
        <w:t xml:space="preserve">	</w:t>
      </w:r>
      <w:r>
        <w:t xml:space="preserve">elixir-europe/plant-brapi-etl-faidare. ELIXIR Europe; 2024. Available:</w:t>
      </w:r>
      <w:r>
        <w:t xml:space="preserve"> </w:t>
      </w:r>
      <w:hyperlink r:id="rId342">
        <w:r>
          <w:rPr>
            <w:rStyle w:val="Hyperlink"/>
          </w:rPr>
          <w:t xml:space="preserve">https://github.com/elixir-europe/plant-brapi-etl-faidare</w:t>
        </w:r>
      </w:hyperlink>
    </w:p>
    <w:bookmarkEnd w:id="478"/>
    <w:bookmarkStart w:id="480" w:name="ref-sW9euzzP"/>
    <w:p>
      <w:pPr>
        <w:pStyle w:val="Bibliography"/>
      </w:pPr>
      <w:r>
        <w:t xml:space="preserve">49.</w:t>
      </w:r>
      <w:r>
        <w:t xml:space="preserve"> </w:t>
      </w:r>
      <w:r>
        <w:t xml:space="preserve">	</w:t>
      </w:r>
      <w:r>
        <w:t xml:space="preserve">Raubach S, Kilian B, Dreher K, Amri A, Bassi FM, Boukar O, et al. From bits to bites: Advancement of the Germinate platform to support prebreeding informatics for crop wild relatives. Crop Science. 2020;61: 1538–1566. doi:</w:t>
      </w:r>
      <w:hyperlink r:id="rId479">
        <w:r>
          <w:rPr>
            <w:rStyle w:val="Hyperlink"/>
          </w:rPr>
          <w:t xml:space="preserve">10.1002/csc2.20248</w:t>
        </w:r>
      </w:hyperlink>
    </w:p>
    <w:bookmarkEnd w:id="480"/>
    <w:bookmarkStart w:id="482" w:name="ref-rPgDlCbt"/>
    <w:p>
      <w:pPr>
        <w:pStyle w:val="Bibliography"/>
      </w:pPr>
      <w:r>
        <w:t xml:space="preserve">50.</w:t>
      </w:r>
      <w:r>
        <w:t xml:space="preserve"> </w:t>
      </w:r>
      <w:r>
        <w:t xml:space="preserve">	</w:t>
      </w:r>
      <w:r>
        <w:t xml:space="preserve">Shaw PD, Raubach S, Hearne SJ, Dreher K, Bryan G, McKenzie G, et al. Germinate 3: Development of a Common Platform to Support the Distribution of Experimental Data on Crop Wild Relatives. Crop Science. 2017;57: 1259–1273. doi:</w:t>
      </w:r>
      <w:hyperlink r:id="rId481">
        <w:r>
          <w:rPr>
            <w:rStyle w:val="Hyperlink"/>
          </w:rPr>
          <w:t xml:space="preserve">10.2135/cropsci2016.09.0814</w:t>
        </w:r>
      </w:hyperlink>
    </w:p>
    <w:bookmarkEnd w:id="482"/>
    <w:bookmarkStart w:id="484" w:name="ref-7WXz7FUP"/>
    <w:p>
      <w:pPr>
        <w:pStyle w:val="Bibliography"/>
      </w:pPr>
      <w:r>
        <w:t xml:space="preserve">51.</w:t>
      </w:r>
      <w:r>
        <w:t xml:space="preserve"> </w:t>
      </w:r>
      <w:r>
        <w:t xml:space="preserve">	</w:t>
      </w:r>
      <w:r>
        <w:t xml:space="preserve">Aparicio J, Gezan SA, Ariza-Suarez D, Raatz B, Diaz S, Heilman-Morales A, et al. Mr.Bean: a comprehensive statistical and visualization application for modeling agricultural field trials data. Front Plant Sci. 2024;14. doi:</w:t>
      </w:r>
      <w:hyperlink r:id="rId483">
        <w:r>
          <w:rPr>
            <w:rStyle w:val="Hyperlink"/>
          </w:rPr>
          <w:t xml:space="preserve">10.3389/fpls.2023.1290078</w:t>
        </w:r>
      </w:hyperlink>
    </w:p>
    <w:bookmarkEnd w:id="484"/>
    <w:bookmarkStart w:id="486" w:name="ref-KZc5ayvK"/>
    <w:p>
      <w:pPr>
        <w:pStyle w:val="Bibliography"/>
      </w:pPr>
      <w:r>
        <w:t xml:space="preserve">52.</w:t>
      </w:r>
      <w:r>
        <w:t xml:space="preserve"> </w:t>
      </w:r>
      <w:r>
        <w:t xml:space="preserve">	</w:t>
      </w:r>
      <w:r>
        <w:t xml:space="preserve">Sansone S-A, Rocca-Serra P, Field D, Maguire E, Taylor C, Hofmann O, et al. Toward interoperable bioscience data. Nat Genet. 2012;44: 121–126. doi:</w:t>
      </w:r>
      <w:hyperlink r:id="rId485">
        <w:r>
          <w:rPr>
            <w:rStyle w:val="Hyperlink"/>
          </w:rPr>
          <w:t xml:space="preserve">10.1038/ng.1054</w:t>
        </w:r>
      </w:hyperlink>
    </w:p>
    <w:bookmarkEnd w:id="486"/>
    <w:bookmarkStart w:id="488" w:name="ref-STn93hbH"/>
    <w:p>
      <w:pPr>
        <w:pStyle w:val="Bibliography"/>
      </w:pPr>
      <w:r>
        <w:t xml:space="preserve">53.</w:t>
      </w:r>
      <w:r>
        <w:t xml:space="preserve"> </w:t>
      </w:r>
      <w:r>
        <w:t xml:space="preserve">	</w:t>
      </w:r>
      <w:r>
        <w:t xml:space="preserve">Fernandez-Pozo N, Menda N, Edwards JD, Saha S, Tecle IY, Strickler SR, et al. The Sol Genomics Network (SGN)—from genotype to phenotype to breeding. Nucleic Acids Research. 2014;43: D1036–D1041. doi:</w:t>
      </w:r>
      <w:hyperlink r:id="rId487">
        <w:r>
          <w:rPr>
            <w:rStyle w:val="Hyperlink"/>
          </w:rPr>
          <w:t xml:space="preserve">10.1093/nar/gku1195</w:t>
        </w:r>
      </w:hyperlink>
    </w:p>
    <w:bookmarkEnd w:id="488"/>
    <w:bookmarkEnd w:id="489"/>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9"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7" Target="https://doi.org/10.1002/ppp3.10187" TargetMode="External" /><Relationship Type="http://schemas.openxmlformats.org/officeDocument/2006/relationships/hyperlink" Id="rId448"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6"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5" Target="https://doi.org/10.1038/ng.1054" TargetMode="External" /><Relationship Type="http://schemas.openxmlformats.org/officeDocument/2006/relationships/hyperlink" Id="rId436" Target="https://doi.org/10.1038/sdata.2016.18" TargetMode="External" /><Relationship Type="http://schemas.openxmlformats.org/officeDocument/2006/relationships/hyperlink" Id="rId462" Target="https://doi.org/10.1093/aobpla/plq008" TargetMode="External" /><Relationship Type="http://schemas.openxmlformats.org/officeDocument/2006/relationships/hyperlink" Id="rId429" Target="https://doi.org/10.1093/bioinformatics/btac410" TargetMode="External" /><Relationship Type="http://schemas.openxmlformats.org/officeDocument/2006/relationships/hyperlink" Id="rId423" Target="https://doi.org/10.1093/bioinformatics/btq580" TargetMode="External" /><Relationship Type="http://schemas.openxmlformats.org/officeDocument/2006/relationships/hyperlink" Id="rId413"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60" Target="https://doi.org/10.1093/database/baab054" TargetMode="External" /><Relationship Type="http://schemas.openxmlformats.org/officeDocument/2006/relationships/hyperlink" Id="rId411" Target="https://doi.org/10.1093/database/bax046" TargetMode="External" /><Relationship Type="http://schemas.openxmlformats.org/officeDocument/2006/relationships/hyperlink" Id="rId409" Target="https://doi.org/10.1093/g3journal/jkac078" TargetMode="External" /><Relationship Type="http://schemas.openxmlformats.org/officeDocument/2006/relationships/hyperlink" Id="rId472" Target="https://doi.org/10.1093/genetics/157.4.1819" TargetMode="External" /><Relationship Type="http://schemas.openxmlformats.org/officeDocument/2006/relationships/hyperlink" Id="rId417" Target="https://doi.org/10.1093/gigascience/giad025" TargetMode="External" /><Relationship Type="http://schemas.openxmlformats.org/officeDocument/2006/relationships/hyperlink" Id="rId425" Target="https://doi.org/10.1093/gigascience/giz051" TargetMode="External" /><Relationship Type="http://schemas.openxmlformats.org/officeDocument/2006/relationships/hyperlink" Id="rId444" Target="https://doi.org/10.1093/nar/gkac852" TargetMode="External" /><Relationship Type="http://schemas.openxmlformats.org/officeDocument/2006/relationships/hyperlink" Id="rId487" Target="https://doi.org/10.1093/nar/gku1195" TargetMode="External" /><Relationship Type="http://schemas.openxmlformats.org/officeDocument/2006/relationships/hyperlink" Id="rId464"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2"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3" Target="https://doi.org/10.1111/nph.16544" TargetMode="External" /><Relationship Type="http://schemas.openxmlformats.org/officeDocument/2006/relationships/hyperlink" Id="rId419" Target="https://doi.org/10.1186/1471-2105-10-421" TargetMode="External" /><Relationship Type="http://schemas.openxmlformats.org/officeDocument/2006/relationships/hyperlink" Id="rId450"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21" Target="https://doi.org/10.1186/s13742-015-0080-7" TargetMode="External" /><Relationship Type="http://schemas.openxmlformats.org/officeDocument/2006/relationships/hyperlink" Id="rId458" Target="https://doi.org/10.1186/s43170-020-00015-6" TargetMode="External" /><Relationship Type="http://schemas.openxmlformats.org/officeDocument/2006/relationships/hyperlink" Id="rId438" Target="https://doi.org/10.12688/f1000research.109080.2" TargetMode="External" /><Relationship Type="http://schemas.openxmlformats.org/officeDocument/2006/relationships/hyperlink" Id="rId470"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81" Target="https://doi.org/10.2135/cropsci2016.09.0814" TargetMode="External" /><Relationship Type="http://schemas.openxmlformats.org/officeDocument/2006/relationships/hyperlink" Id="rId433" Target="https://doi.org/10.2135/cropsci2017.01.0014" TargetMode="External" /><Relationship Type="http://schemas.openxmlformats.org/officeDocument/2006/relationships/hyperlink" Id="rId442" Target="https://doi.org/10.22004/ag.econ.266624" TargetMode="External" /><Relationship Type="http://schemas.openxmlformats.org/officeDocument/2006/relationships/hyperlink" Id="rId483" Target="https://doi.org/10.3389/fpls.2023.1290078" TargetMode="External" /><Relationship Type="http://schemas.openxmlformats.org/officeDocument/2006/relationships/hyperlink" Id="rId454" Target="https://doi.org/10.3389/fpls.2024.1268847" TargetMode="External" /><Relationship Type="http://schemas.openxmlformats.org/officeDocument/2006/relationships/hyperlink" Id="rId431" Target="https://doi.org/10.3390/plants10081557" TargetMode="External" /><Relationship Type="http://schemas.openxmlformats.org/officeDocument/2006/relationships/hyperlink" Id="rId466" Target="https://doi.org/10.3390/plants10122805" TargetMode="External" /><Relationship Type="http://schemas.openxmlformats.org/officeDocument/2006/relationships/hyperlink" Id="rId446" Target="https://doi.org/10.34133/2019/1671403" TargetMode="External" /><Relationship Type="http://schemas.openxmlformats.org/officeDocument/2006/relationships/hyperlink" Id="rId474" Target="https://doi.org/10.5281/zenodo.10791627" TargetMode="External" /><Relationship Type="http://schemas.openxmlformats.org/officeDocument/2006/relationships/hyperlink" Id="rId440"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8c1a8ee99e8415c034b415ecff46cae13f27410"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88c1a8ee99e8415c034b415ecff46cae13f27410/"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9"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7" Target="https://doi.org/10.1002/ppp3.10187" TargetMode="External" /><Relationship Type="http://schemas.openxmlformats.org/officeDocument/2006/relationships/hyperlink" Id="rId448"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6"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5" Target="https://doi.org/10.1038/ng.1054" TargetMode="External" /><Relationship Type="http://schemas.openxmlformats.org/officeDocument/2006/relationships/hyperlink" Id="rId436" Target="https://doi.org/10.1038/sdata.2016.18" TargetMode="External" /><Relationship Type="http://schemas.openxmlformats.org/officeDocument/2006/relationships/hyperlink" Id="rId462" Target="https://doi.org/10.1093/aobpla/plq008" TargetMode="External" /><Relationship Type="http://schemas.openxmlformats.org/officeDocument/2006/relationships/hyperlink" Id="rId429" Target="https://doi.org/10.1093/bioinformatics/btac410" TargetMode="External" /><Relationship Type="http://schemas.openxmlformats.org/officeDocument/2006/relationships/hyperlink" Id="rId423" Target="https://doi.org/10.1093/bioinformatics/btq580" TargetMode="External" /><Relationship Type="http://schemas.openxmlformats.org/officeDocument/2006/relationships/hyperlink" Id="rId413"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60" Target="https://doi.org/10.1093/database/baab054" TargetMode="External" /><Relationship Type="http://schemas.openxmlformats.org/officeDocument/2006/relationships/hyperlink" Id="rId411" Target="https://doi.org/10.1093/database/bax046" TargetMode="External" /><Relationship Type="http://schemas.openxmlformats.org/officeDocument/2006/relationships/hyperlink" Id="rId409" Target="https://doi.org/10.1093/g3journal/jkac078" TargetMode="External" /><Relationship Type="http://schemas.openxmlformats.org/officeDocument/2006/relationships/hyperlink" Id="rId472" Target="https://doi.org/10.1093/genetics/157.4.1819" TargetMode="External" /><Relationship Type="http://schemas.openxmlformats.org/officeDocument/2006/relationships/hyperlink" Id="rId417" Target="https://doi.org/10.1093/gigascience/giad025" TargetMode="External" /><Relationship Type="http://schemas.openxmlformats.org/officeDocument/2006/relationships/hyperlink" Id="rId425" Target="https://doi.org/10.1093/gigascience/giz051" TargetMode="External" /><Relationship Type="http://schemas.openxmlformats.org/officeDocument/2006/relationships/hyperlink" Id="rId444" Target="https://doi.org/10.1093/nar/gkac852" TargetMode="External" /><Relationship Type="http://schemas.openxmlformats.org/officeDocument/2006/relationships/hyperlink" Id="rId487" Target="https://doi.org/10.1093/nar/gku1195" TargetMode="External" /><Relationship Type="http://schemas.openxmlformats.org/officeDocument/2006/relationships/hyperlink" Id="rId464"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2"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3" Target="https://doi.org/10.1111/nph.16544" TargetMode="External" /><Relationship Type="http://schemas.openxmlformats.org/officeDocument/2006/relationships/hyperlink" Id="rId419" Target="https://doi.org/10.1186/1471-2105-10-421" TargetMode="External" /><Relationship Type="http://schemas.openxmlformats.org/officeDocument/2006/relationships/hyperlink" Id="rId450"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21" Target="https://doi.org/10.1186/s13742-015-0080-7" TargetMode="External" /><Relationship Type="http://schemas.openxmlformats.org/officeDocument/2006/relationships/hyperlink" Id="rId458" Target="https://doi.org/10.1186/s43170-020-00015-6" TargetMode="External" /><Relationship Type="http://schemas.openxmlformats.org/officeDocument/2006/relationships/hyperlink" Id="rId438" Target="https://doi.org/10.12688/f1000research.109080.2" TargetMode="External" /><Relationship Type="http://schemas.openxmlformats.org/officeDocument/2006/relationships/hyperlink" Id="rId470"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81" Target="https://doi.org/10.2135/cropsci2016.09.0814" TargetMode="External" /><Relationship Type="http://schemas.openxmlformats.org/officeDocument/2006/relationships/hyperlink" Id="rId433" Target="https://doi.org/10.2135/cropsci2017.01.0014" TargetMode="External" /><Relationship Type="http://schemas.openxmlformats.org/officeDocument/2006/relationships/hyperlink" Id="rId442" Target="https://doi.org/10.22004/ag.econ.266624" TargetMode="External" /><Relationship Type="http://schemas.openxmlformats.org/officeDocument/2006/relationships/hyperlink" Id="rId483" Target="https://doi.org/10.3389/fpls.2023.1290078" TargetMode="External" /><Relationship Type="http://schemas.openxmlformats.org/officeDocument/2006/relationships/hyperlink" Id="rId454" Target="https://doi.org/10.3389/fpls.2024.1268847" TargetMode="External" /><Relationship Type="http://schemas.openxmlformats.org/officeDocument/2006/relationships/hyperlink" Id="rId431" Target="https://doi.org/10.3390/plants10081557" TargetMode="External" /><Relationship Type="http://schemas.openxmlformats.org/officeDocument/2006/relationships/hyperlink" Id="rId466" Target="https://doi.org/10.3390/plants10122805" TargetMode="External" /><Relationship Type="http://schemas.openxmlformats.org/officeDocument/2006/relationships/hyperlink" Id="rId446" Target="https://doi.org/10.34133/2019/1671403" TargetMode="External" /><Relationship Type="http://schemas.openxmlformats.org/officeDocument/2006/relationships/hyperlink" Id="rId474" Target="https://doi.org/10.5281/zenodo.10791627" TargetMode="External" /><Relationship Type="http://schemas.openxmlformats.org/officeDocument/2006/relationships/hyperlink" Id="rId440"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8c1a8ee99e8415c034b415ecff46cae13f27410"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88c1a8ee99e8415c034b415ecff46cae13f27410/"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2024-09-25T21:01:28Z</dcterms:created>
  <dcterms:modified xsi:type="dcterms:W3CDTF">2024-09-25T21:01:28Z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https://www.zotero.org/styles/plos-computational-biology</vt:lpwstr>
  </property>
  <property fmtid="{D5CDD505-2E9C-101B-9397-08002B2CF9AE}" pid="6" name="date-meta">
    <vt:lpwstr>2024-09-25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