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 Blueprint tecnico e arquitetura</w:t>
      </w:r>
    </w:p>
    <w:p>
      <w:pPr>
        <w:pStyle w:val="Subtitle"/>
      </w:pPr>
      <w:r>
        <w:t>Documento consolidado | leitura visual + especificacao operacional | rev. ambientes 23/10/2026</w:t>
      </w:r>
    </w:p>
    <w:p>
      <w:pPr>
        <w:pStyle w:val="Heading1"/>
      </w:pPr>
      <w:r>
        <w:t>Visao executiva</w:t>
      </w:r>
    </w:p>
    <w:p>
      <w:r>
        <w:t>Produto de estudo estilo YPT, com organizacao do estudo e nucleo social gratuito, revisoes inteligentes no Pro e monetizacao por assinatura. Fase 0 aprova fluxos antes do desenvolvimento funcional.</w:t>
      </w:r>
    </w:p>
    <w:p>
      <w:pPr>
        <w:pStyle w:val="Heading2"/>
      </w:pPr>
      <w:r>
        <w:t>Arquitetura vigente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EE"/>
          </w:tcPr>
          <w:p>
            <w:pPr>
              <w:jc w:val="center"/>
            </w:pPr>
            <w:r>
              <w:rPr>
                <w:b/>
                <w:sz w:val="17"/>
              </w:rPr>
              <w:t>FRONTEND • React + Vite / PWA • hospedagem Vercel Pro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5"/>
          </w:tcPr>
          <w:p>
            <w:pPr>
              <w:jc w:val="center"/>
            </w:pPr>
            <w:r>
              <w:rPr>
                <w:b/>
                <w:sz w:val="17"/>
              </w:rPr>
              <w:t>API • Node.js + Express • hospedagem Render • MVC + Service (regras de negocio)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EE"/>
          </w:tcPr>
          <w:p>
            <w:pPr>
              <w:jc w:val="center"/>
            </w:pPr>
            <w:r>
              <w:rPr>
                <w:b/>
                <w:sz w:val="17"/>
              </w:rPr>
              <w:t>DADOS E SERVICOS • Supabase: projeto DEV (Free) e PROD (Pro no lancamento)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5"/>
          </w:tcPr>
          <w:p>
            <w:pPr>
              <w:jc w:val="center"/>
            </w:pPr>
            <w:r>
              <w:rPr>
                <w:b/>
                <w:sz w:val="17"/>
              </w:rPr>
              <w:t>PAGAMENTOS • Mercado Pago, por integracao controlada na API</w:t>
            </w:r>
          </w:p>
        </w:tc>
      </w:tr>
    </w:tbl>
    <w:p>
      <w:pPr>
        <w:pStyle w:val="Heading1"/>
      </w:pPr>
      <w:r>
        <w:t>Ambientes e fluxo de trabalho aprovados</w:t>
      </w:r>
    </w:p>
    <w:p>
      <w:pPr/>
      <w:r>
        <w:t>Um repositório GitHub para o produto inteiro. Todos clonam o mesmo projeto e desenvolvem em branches com Pull Requests; o GitHub guarda o código, não executa a API.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088"/>
            <w:vAlign w:val="center"/>
            <w:shd w:fill="1C3959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4032"/>
            <w:vAlign w:val="center"/>
            <w:shd w:fill="1C3959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DESENVOLVIMENTO / TESTES</w:t>
            </w:r>
          </w:p>
        </w:tc>
        <w:tc>
          <w:tcPr>
            <w:tcW w:type="dxa" w:w="3816"/>
            <w:vAlign w:val="center"/>
            <w:shd w:fill="1C3959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PRODUÇÃO (no lançamento)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Código / colaboração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GitHub único: backend/, frontend/, docs/; clones locais, Issues e PRs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Mesmo repositório; somente commits revisados chegam à main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Backend Node/Express</w:t>
            </w:r>
          </w:p>
        </w:tc>
        <w:tc>
          <w:tcPr>
            <w:tcW w:type="dxa" w:w="4032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API executada localmente nos computadores de Gabriel e Samuel</w:t>
            </w:r>
          </w:p>
        </w:tc>
        <w:tc>
          <w:tcPr>
            <w:tcW w:type="dxa" w:w="3816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1 Web Service no Render; sem segunda instância para homologação inicial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Banco, Auth e Realtime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Supabase plantel-dev, Free, com dados fictícios e migrations autorizadas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Supabase plantel-prod separado, Pro antes da entrada em produção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Frontend React/Vite</w:t>
            </w:r>
          </w:p>
        </w:tc>
        <w:tc>
          <w:tcPr>
            <w:tcW w:type="dxa" w:w="4032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Execução local + ambiente Preview do mesmo projeto Vercel</w:t>
            </w:r>
          </w:p>
        </w:tc>
        <w:tc>
          <w:tcPr>
            <w:tcW w:type="dxa" w:w="3816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Ambiente Production do mesmo projeto Vercel</w:t>
            </w:r>
          </w:p>
        </w:tc>
      </w:tr>
    </w:tbl>
    <w:p>
      <w:pPr/>
      <w:r>
        <w:t>Fluxo: issue → branch local → pull request → revisão/testes → merge. Migrations: arquivo versionado → plantel-dev → teste e revisão → plantel-prod (somente com autorização).</w:t>
      </w:r>
    </w:p>
    <w:p>
      <w:pPr/>
      <w:r>
        <w:t>Cobrança Supabase: uma mesma conta pode administrar os dois projetos. Quando o produto entrar no Pro, projetos Free e Pro precisam ficar em organizações diferentes para manter planos distintos; validar custos e separação antes do upgrade.</w:t>
      </w:r>
    </w:p>
    <w:p>
      <w:pPr>
        <w:pStyle w:val="Heading1"/>
      </w:pPr>
      <w:r>
        <w:t>Fronteiras de responsabilidade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shd w:fill="176448"/>
          </w:tcPr>
          <w:p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389"/>
            <w:shd w:fill="176448"/>
          </w:tcPr>
          <w:p>
            <w:r>
              <w:rPr>
                <w:b/>
                <w:color w:val="FFFFFF"/>
                <w:sz w:val="16"/>
              </w:rPr>
              <w:t>Faz</w:t>
            </w:r>
          </w:p>
        </w:tc>
        <w:tc>
          <w:tcPr>
            <w:tcW w:type="dxa" w:w="3389"/>
            <w:shd w:fill="176448"/>
          </w:tcPr>
          <w:p>
            <w:r>
              <w:rPr>
                <w:b/>
                <w:color w:val="FFFFFF"/>
                <w:sz w:val="16"/>
              </w:rPr>
              <w:t>Nao faz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Telas, acessibilidade, experiencia responsiva e estado visual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Decidir Pro, permissao ou pontuacao confiavel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API Express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Regras, autorizacao, tempo de sessao, ranking, pagamentos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Armazenar senhas ou expor segredos ao navegador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Supabase Auth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Credenciais, login, recuperacao e JWT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Substituir verificacao de acesso do backend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PostgreSQL Supabase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Dados oficiais e integridade relacional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Executar regras sensiveis somente no cliente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Supabase Realtime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Broadcast, Presence e canais privados autorizados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Comprovar tempo real de estudo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Render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Executar API Node.js; logs e deploy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Hospedar banco de dados do Plantel</w:t>
            </w:r>
          </w:p>
        </w:tc>
      </w:tr>
    </w:tbl>
    <w:p/>
    <w:p>
      <w:pPr>
        <w:pStyle w:val="Heading1"/>
      </w:pPr>
      <w:r>
        <w:t>Escopo comprometido com o lancamento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Nucleo</w:t>
            </w:r>
          </w:p>
        </w:tc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Entrega V1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Identidade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Cadastro com nome, email, senha, apelido e data_nascimento; email confirmado; privacidade e onboarding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Estudo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Hoje, metas, timer bloco/livre/Pomodoro, sessoes cronometradas e manuais, historico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Social gratuito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Grupos, convite, mesa de presenca, mural sem texto livre, reacoes e ranking de grupo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Revisoes Pro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1/7/30; dificuldade, carga diaria, folgas, atrasos e retomada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Comercial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Teste Pro de 14 dias, assinatura mensal/anual, pagamento e reconciliacao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Operacao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Resumo domingo, notificacoes, tres hierarquias administrativas, auditoria e LGPD</w:t>
            </w:r>
          </w:p>
        </w:tc>
      </w:tr>
    </w:tbl>
    <w:p/>
    <w:p>
      <w:pPr>
        <w:pStyle w:val="Heading1"/>
      </w:pPr>
      <w:r>
        <w:t>Nao comprometer para o lancamento</w:t>
      </w:r>
    </w:p>
    <w:p>
      <w:pPr>
        <w:pStyle w:val="ListBullet"/>
      </w:pPr>
      <w:r>
        <w:t>Duelos individuais, sala do dia e cards de compartilhamento: somente possivel 1.0.x, fora das Issues ativas do lancamento.</w:t>
      </w:r>
    </w:p>
    <w:p>
      <w:pPr>
        <w:pStyle w:val="ListBullet"/>
      </w:pPr>
      <w:r>
        <w:t>IA semanal, simulados, rankings publicos, moedas, loja, desafios ampliados e chat livre: fora da V1.</w:t>
      </w:r>
    </w:p>
    <w:p>
      <w:pPr>
        <w:pStyle w:val="ListBullet"/>
      </w:pPr>
      <w:r>
        <w:t>MongoDB Atlas: somente arquitetura futura de chat; nao contratar, criar colecoes ou implementar agora.</w:t>
      </w:r>
    </w:p>
    <w:p>
      <w:pPr>
        <w:pStyle w:val="ListBullet"/>
      </w:pPr>
      <w:r>
        <w:t>Indicações/recompensas e meta coletiva constam da base, mas seus criterios de concessao precisam de validacao de produto/antiabuso; nao usar telefone.</w:t>
      </w:r>
    </w:p>
    <w:p>
      <w:pPr>
        <w:pStyle w:val="Heading1"/>
      </w:pPr>
      <w:r>
        <w:t>Convencoes e implementacao</w:t>
      </w:r>
    </w:p>
    <w:p>
      <w:pPr>
        <w:pStyle w:val="Heading2"/>
        <w:spacing w:before="180" w:after="80"/>
      </w:pPr>
      <w:r>
        <w:t>Padrao de nomenclatura do codigo — frontend e backend</w:t>
      </w:r>
    </w:p>
    <w:p>
      <w:pPr>
        <w:spacing w:after="100"/>
      </w:pPr>
      <w:r>
        <w:rPr>
          <w:sz w:val="18"/>
        </w:rPr>
        <w:t>Regra transversal da V1: todo codigo novo deve usar nomes de dominio em portugues brasileiro sem acentos. As palavras da linguagem e os nomes tecnicos padronizados permanecem em ingles. O Codex deve aplicar essa regra nos dois lados do produto.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128"/>
      </w:tblGrid>
      <w:tr>
        <w:trPr>
          <w:tblHeader w:val="true"/>
        </w:trPr>
        <w:tc>
          <w:tcPr>
            <w:tcW w:type="dxa" w:w="5083"/>
            <w:shd w:fill="20405C"/>
            <w:vAlign w:val="center"/>
          </w:tcPr>
          <w:p>
            <w:r>
              <w:rPr>
                <w:b/>
                <w:color w:val="FFFFFF"/>
                <w:sz w:val="16"/>
              </w:rPr>
              <w:t>Escopo</w:t>
            </w:r>
          </w:p>
        </w:tc>
        <w:tc>
          <w:tcPr>
            <w:tcW w:type="dxa" w:w="5083"/>
            <w:shd w:fill="20405C"/>
            <w:vAlign w:val="center"/>
          </w:tcPr>
          <w:p>
            <w:r>
              <w:rPr>
                <w:b/>
                <w:color w:val="FFFFFF"/>
                <w:sz w:val="16"/>
              </w:rPr>
              <w:t>Regra obrigatoria</w:t>
            </w:r>
          </w:p>
        </w:tc>
      </w:tr>
      <w:tr>
        <w:tc>
          <w:tcPr>
            <w:tcW w:type="dxa" w:w="2376"/>
            <w:vAlign w:val="center"/>
            <w:shd w:fill="EDF3F8"/>
          </w:tcPr>
          <w:p>
            <w:pPr>
              <w:spacing w:before="40" w:after="40"/>
            </w:pPr>
            <w:r>
              <w:rPr>
                <w:sz w:val="15"/>
              </w:rPr>
              <w:t>Identificadores de negocio</w:t>
            </w:r>
          </w:p>
        </w:tc>
        <w:tc>
          <w:tcPr>
            <w:tcW w:type="dxa" w:w="7128"/>
            <w:vAlign w:val="center"/>
            <w:shd w:fill="EDF3F8"/>
          </w:tcPr>
          <w:p>
            <w:pPr>
              <w:spacing w:before="40" w:after="40"/>
            </w:pPr>
            <w:r>
              <w:rPr>
                <w:sz w:val="15"/>
              </w:rPr>
              <w:t>Portugues do Brasil, sem acentos nem cedilha, com nomes claros: usuarioId, dadosValidados, iniciarSessao(), calcularTempoEstudado(), enviarMensagem(). Aplicar tambem a parametros, variaveis locais, constantes, objetos e suas propriedades novas, funcoes, componentes React, hooks proprios, arquivos e modulos de dominio.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40" w:after="40"/>
            </w:pPr>
            <w:r>
              <w:rPr>
                <w:sz w:val="15"/>
              </w:rPr>
              <w:t>Convencoes de escrita</w:t>
            </w:r>
          </w:p>
        </w:tc>
        <w:tc>
          <w:tcPr>
            <w:tcW w:type="dxa" w:w="7128"/>
            <w:vAlign w:val="center"/>
          </w:tcPr>
          <w:p>
            <w:pPr>
              <w:spacing w:before="40" w:after="40"/>
            </w:pPr>
            <w:r>
              <w:rPr>
                <w:sz w:val="15"/>
              </w:rPr>
              <w:t>JavaScript/JSX: camelCase para variaveis, parametros, funcoes, propriedades e hooks proprios; PascalCase para componentes React e classes quando necessarias; UPPER_SNAKE_CASE para constantes globais. SQL: snake_case em nomes de tabelas e colunas de dominio, respeitando o modelo de dados aprovado.</w:t>
            </w:r>
          </w:p>
        </w:tc>
      </w:tr>
      <w:tr>
        <w:tc>
          <w:tcPr>
            <w:tcW w:type="dxa" w:w="2376"/>
            <w:vAlign w:val="center"/>
            <w:shd w:fill="EDF3F8"/>
          </w:tcPr>
          <w:p>
            <w:pPr>
              <w:spacing w:before="40" w:after="40"/>
            </w:pPr>
            <w:r>
              <w:rPr>
                <w:sz w:val="15"/>
              </w:rPr>
              <w:t>Elementos que NAO se traduzem</w:t>
            </w:r>
          </w:p>
        </w:tc>
        <w:tc>
          <w:tcPr>
            <w:tcW w:type="dxa" w:w="7128"/>
            <w:vAlign w:val="center"/>
            <w:shd w:fill="EDF3F8"/>
          </w:tcPr>
          <w:p>
            <w:pPr>
              <w:spacing w:before="40" w:after="40"/>
            </w:pPr>
            <w:r>
              <w:rPr>
                <w:sz w:val="15"/>
              </w:rPr>
              <w:t>Palavras reservadas e APIs do JavaScript/Node/React/SQL mantem sua sintaxe original: async, await, function, return, const, let, try, catch, require, module.exports, useState, useEffect, map, filter, SELECT, JOIN etc. Nomes obrigatorios de bibliotecas, frameworks, protocolos e convencoes de camadas tambem: controller, service, model, routes, middlewares, shared, components, hooks, services, config.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40" w:after="40"/>
            </w:pPr>
            <w:r>
              <w:rPr>
                <w:sz w:val="15"/>
              </w:rPr>
              <w:t>Contratos e compatibilidade</w:t>
            </w:r>
          </w:p>
        </w:tc>
        <w:tc>
          <w:tcPr>
            <w:tcW w:type="dxa" w:w="7128"/>
            <w:vAlign w:val="center"/>
          </w:tcPr>
          <w:p>
            <w:pPr>
              <w:spacing w:before="40" w:after="40"/>
            </w:pPr>
            <w:r>
              <w:rPr>
                <w:sz w:val="15"/>
              </w:rPr>
              <w:t>Nao renomear endpoints, nomes de campos JSON, tabelas, colunas, variaveis de ambiente ou interfaces JA APROVADOS apenas para traduzir. Respeitar documentos 02 e 03 e codigo existente; qualquer mudanca de contrato requer revisao conjunta e migracao planejada.</w:t>
            </w:r>
          </w:p>
        </w:tc>
      </w:tr>
      <w:tr>
        <w:tc>
          <w:tcPr>
            <w:tcW w:type="dxa" w:w="2376"/>
            <w:vAlign w:val="center"/>
            <w:shd w:fill="EDF3F8"/>
          </w:tcPr>
          <w:p>
            <w:pPr>
              <w:spacing w:before="40" w:after="40"/>
            </w:pPr>
            <w:r>
              <w:rPr>
                <w:sz w:val="15"/>
              </w:rPr>
              <w:t>Codigo limpo e exemplos</w:t>
            </w:r>
          </w:p>
        </w:tc>
        <w:tc>
          <w:tcPr>
            <w:tcW w:type="dxa" w:w="7128"/>
            <w:vAlign w:val="center"/>
            <w:shd w:fill="EDF3F8"/>
          </w:tcPr>
          <w:p>
            <w:pPr>
              <w:spacing w:before="40" w:after="40"/>
            </w:pPr>
            <w:r>
              <w:rPr>
                <w:sz w:val="15"/>
              </w:rPr>
              <w:t>Preferir nomes completos e significativos, funcoes pequenas, responsabilidade unica e comentarios em portugues quando necessarios. Evitar siglas obscuras e atalhos sem contexto. Exemplos, novos testes, mocks e subprompts devem seguir a mesma politica.</w:t>
            </w:r>
          </w:p>
        </w:tc>
      </w:tr>
    </w:tbl>
    <w:p>
      <w:pPr/>
      <w:r>
        <w:t>O arquivo AGENTS.md, versionado na raiz do repositório, deve reforçar esta regra em toda Issue, junto com a verificacao de Git/PRs/Projects. A criacao do arquivo exige aprovacao do responsavel e nao autoriza outras alteracoes.</w:t>
      </w:r>
    </w:p>
    <w:p>
      <w:pPr>
        <w:pStyle w:val="ListBullet"/>
      </w:pPr>
      <w:r>
        <w:t>Backend: modules/&lt;dominio&gt; com routes/controller/service/model; camadas tecnicas em ingles, dominios em portugues ASCII.</w:t>
      </w:r>
    </w:p>
    <w:p>
      <w:pPr>
        <w:pStyle w:val="ListBullet"/>
      </w:pPr>
      <w:r>
        <w:t>SQL PostgreSQL usando pg + Pool, placeholders, migrations via node-pg-migrate; sem ORM.</w:t>
      </w:r>
    </w:p>
    <w:p>
      <w:pPr>
        <w:pStyle w:val="ListBullet"/>
      </w:pPr>
      <w:r>
        <w:t>JWT validado no backend. usuario_id deve vir da identidade autenticada, nao do request body.</w:t>
      </w:r>
    </w:p>
    <w:p>
      <w:pPr>
        <w:pStyle w:val="ListBullet"/>
      </w:pPr>
      <w:r>
        <w:t>Manter observabilidade, testes, rate limit, idempotencia, logs seguros e boas praticas LGPD.</w:t>
      </w:r>
    </w:p>
    <w:p>
      <w:pPr>
        <w:pStyle w:val="Heading2"/>
      </w:pPr>
      <w:r>
        <w:t>Ordem de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EE"/>
          </w:tcPr>
          <w:p>
            <w:pPr>
              <w:jc w:val="center"/>
            </w:pPr>
            <w:r>
              <w:rPr>
                <w:b/>
                <w:sz w:val="17"/>
              </w:rPr>
              <w:t>F0: inventario e prototipo responsivo → revisao tecnica → aprovacao de produto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5"/>
          </w:tcPr>
          <w:p>
            <w:pPr>
              <w:jc w:val="center"/>
            </w:pPr>
            <w:r>
              <w:rPr>
                <w:b/>
                <w:sz w:val="17"/>
              </w:rPr>
              <w:t>S0: fundacao tecnica e ambientes (preparo pode ocorrer em paralelo)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EE"/>
          </w:tcPr>
          <w:p>
            <w:pPr>
              <w:jc w:val="center"/>
            </w:pPr>
            <w:r>
              <w:rPr>
                <w:b/>
                <w:sz w:val="17"/>
              </w:rPr>
              <w:t>S1–S4: funcionalidades da V1 por dependencia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5"/>
          </w:tcPr>
          <w:p>
            <w:pPr>
              <w:jc w:val="center"/>
            </w:pPr>
            <w:r>
              <w:rPr>
                <w:b/>
                <w:sz w:val="17"/>
              </w:rPr>
              <w:t>Beta: E2E, seguranca, legal e homologacao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EE"/>
          </w:tcPr>
          <w:p>
            <w:pPr>
              <w:jc w:val="center"/>
            </w:pPr>
            <w:r>
              <w:rPr>
                <w:b/>
                <w:sz w:val="17"/>
              </w:rPr>
              <w:t>Estabilizacao: performance, correcoes e aceite final</w:t>
            </w:r>
          </w:p>
        </w:tc>
      </w:tr>
    </w:tbl>
    <w:p>
      <w:pPr>
        <w:pStyle w:val="Heading1"/>
      </w:pPr>
      <w:r>
        <w:t>Hospedagem e capacidade</w:t>
      </w:r>
    </w:p>
    <w:p>
      <w:r>
        <w:t>Render executará a API apenas em produção; na fase de desenvolvimento ela roda localmente. Dimensionar o Render por testes e simultaneidade, sem presumir capacidade. PostgreSQL permanece no Supabase em dois projetos isolados: dev (Free) e prod (Pro no lançamento). Vercel hospeda o frontend com Preview/Production no mesmo projeto. Nao inferir capacidade de usuarios apenas de CPU/RAM.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V1 de lancamento  •  Fase 0 antes do desenvolvimento  •  Escopo controlado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A694C"/>
      </w:rPr>
      <w:t>PLANTEL   |   DOCUMENTACAO TECNICA V1   |   23 OUT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B2C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69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694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A694C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