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Online Resource S3</w:t>
      </w:r>
    </w:p>
    <w:p>
      <w:r>
        <w:t>Blind record reconstruction and secondary analyses for the STADS field evaluation</w:t>
      </w:r>
    </w:p>
    <w:p>
      <w:r>
        <w:t>This resource documents how scouting observations were associated with prescribed point pairs and how the resulting classifications were analyzed. It provides the linkage audit, retained-versus-excluded comparisons, reviewer agreement and confidence analyses, and sensitivity results. These analyses describe the evidence supporting the case study and the effects of analysis choices; they do not establish that one scouting protocol performs better than the other.</w:t>
      </w:r>
    </w:p>
    <w:p>
      <w:pPr>
        <w:pStyle w:val="Heading1"/>
      </w:pPr>
      <w:r>
        <w:t>Reconstruction of the blinded scouting records</w:t>
      </w:r>
    </w:p>
    <w:p>
      <w:r>
        <w:t>The prescribed sample contained 99 target–reference pairs. The final reviewer workbook retained 55 pairs, represented by 70 presentations. Each retained pair had one presentation with the target observation first. Fifteen pairs were also presented with the observation columns reversed. These additional presentations tested response consistency and were excluded from the main pair-level analysis.</w:t>
      </w:r>
    </w:p>
    <w:p>
      <w:r>
        <w:t>The reconstruction script first removed repeated exports of the same scouting record. It extracted coordinates from the observation objects and searched for records from the same field. Records with conflicting farm identifiers were rejected when both identifiers were available. The nearest observation record within 35 m of a prescribed point was assigned directly. Nearby candidates within 75 m were retained for inspection. The script used coordinates already present in the exports; it did not itself extract photograph metadata.</w:t>
      </w:r>
    </w:p>
    <w:p>
      <w:r>
        <w:t>Where a direct match was unavailable, the script scored contextual evidence: A/B labels in comments, farm and field names, and agreement with a directly linked partner in scout, report, submission time, or record sequence. A highest score of at least 7 could support an inferred association without a distance requirement. A later fallback required at least 8 points and either missing coordinates or a distance within 75 m. The complete scoring rules are given in LINKAGE_RULES.md. These rules reconstruct an association; they do not provide an independent check of its correctness.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632"/>
        <w:gridCol w:w="2160"/>
      </w:tblGrid>
      <w:tr>
        <w:trPr>
          <w:tblHeader/>
        </w:trPr>
        <w:tc>
          <w:tcPr>
            <w:tcW w:type="dxa" w:w="7632"/>
            <w:vAlign w:val="center"/>
            <w:shd w:fill="E8E8E8"/>
          </w:tcPr>
          <w:p>
            <w:pPr>
              <w:spacing w:before="80" w:after="80" w:line="240" w:lineRule="auto"/>
            </w:pPr>
            <w:r>
              <w:rPr>
                <w:b/>
                <w:sz w:val="20"/>
              </w:rPr>
              <w:t>Record stage</w:t>
            </w:r>
          </w:p>
        </w:tc>
        <w:tc>
          <w:tcPr>
            <w:tcW w:type="dxa" w:w="2160"/>
            <w:vAlign w:val="center"/>
            <w:shd w:fill="E8E8E8"/>
          </w:tcPr>
          <w:p>
            <w:pPr>
              <w:spacing w:before="80" w:after="80" w:line="240" w:lineRule="auto"/>
              <w:jc w:val="center"/>
            </w:pPr>
            <w:r>
              <w:rPr>
                <w:b/>
                <w:sz w:val="20"/>
              </w:rPr>
              <w:t>Count</w:t>
            </w:r>
          </w:p>
        </w:tc>
      </w:tr>
      <w:tr>
        <w:tc>
          <w:tcPr>
            <w:tcW w:type="dxa" w:w="7632"/>
            <w:vAlign w:val="center"/>
          </w:tcPr>
          <w:p>
            <w:pPr>
              <w:spacing w:before="80" w:after="80" w:line="240" w:lineRule="auto"/>
            </w:pPr>
            <w:r>
              <w:rPr>
                <w:b w:val="0"/>
                <w:sz w:val="20"/>
              </w:rPr>
              <w:t>Prescribed pairs</w:t>
            </w:r>
          </w:p>
        </w:tc>
        <w:tc>
          <w:tcPr>
            <w:tcW w:type="dxa" w:w="2160"/>
            <w:vAlign w:val="center"/>
          </w:tcPr>
          <w:p>
            <w:pPr>
              <w:spacing w:before="80" w:after="80" w:line="240" w:lineRule="auto"/>
              <w:jc w:val="center"/>
            </w:pPr>
            <w:r>
              <w:rPr>
                <w:b w:val="0"/>
                <w:sz w:val="20"/>
              </w:rPr>
              <w:t>99</w:t>
            </w:r>
          </w:p>
        </w:tc>
      </w:tr>
      <w:tr>
        <w:tc>
          <w:tcPr>
            <w:tcW w:type="dxa" w:w="7632"/>
            <w:vAlign w:val="center"/>
          </w:tcPr>
          <w:p>
            <w:pPr>
              <w:spacing w:before="80" w:after="80" w:line="240" w:lineRule="auto"/>
            </w:pPr>
            <w:r>
              <w:rPr>
                <w:b w:val="0"/>
                <w:sz w:val="20"/>
              </w:rPr>
              <w:t>Pairs retained in the final workbook</w:t>
            </w:r>
          </w:p>
        </w:tc>
        <w:tc>
          <w:tcPr>
            <w:tcW w:type="dxa" w:w="2160"/>
            <w:vAlign w:val="center"/>
          </w:tcPr>
          <w:p>
            <w:pPr>
              <w:spacing w:before="80" w:after="80" w:line="240" w:lineRule="auto"/>
              <w:jc w:val="center"/>
            </w:pPr>
            <w:r>
              <w:rPr>
                <w:b w:val="0"/>
                <w:sz w:val="20"/>
              </w:rPr>
              <w:t>55</w:t>
            </w:r>
          </w:p>
        </w:tc>
      </w:tr>
      <w:tr>
        <w:tc>
          <w:tcPr>
            <w:tcW w:type="dxa" w:w="7632"/>
            <w:vAlign w:val="center"/>
          </w:tcPr>
          <w:p>
            <w:pPr>
              <w:spacing w:before="80" w:after="80" w:line="240" w:lineRule="auto"/>
            </w:pPr>
            <w:r>
              <w:rPr>
                <w:b w:val="0"/>
                <w:sz w:val="20"/>
              </w:rPr>
              <w:t>Pairs not retained</w:t>
            </w:r>
          </w:p>
        </w:tc>
        <w:tc>
          <w:tcPr>
            <w:tcW w:type="dxa" w:w="2160"/>
            <w:vAlign w:val="center"/>
          </w:tcPr>
          <w:p>
            <w:pPr>
              <w:spacing w:before="80" w:after="80" w:line="240" w:lineRule="auto"/>
              <w:jc w:val="center"/>
            </w:pPr>
            <w:r>
              <w:rPr>
                <w:b w:val="0"/>
                <w:sz w:val="20"/>
              </w:rPr>
              <w:t>44</w:t>
            </w:r>
          </w:p>
        </w:tc>
      </w:tr>
      <w:tr>
        <w:tc>
          <w:tcPr>
            <w:tcW w:type="dxa" w:w="7632"/>
            <w:vAlign w:val="center"/>
          </w:tcPr>
          <w:p>
            <w:pPr>
              <w:spacing w:before="80" w:after="80" w:line="240" w:lineRule="auto"/>
            </w:pPr>
            <w:r>
              <w:rPr>
                <w:b w:val="0"/>
                <w:sz w:val="20"/>
              </w:rPr>
              <w:t>Direct point associations</w:t>
            </w:r>
          </w:p>
        </w:tc>
        <w:tc>
          <w:tcPr>
            <w:tcW w:type="dxa" w:w="2160"/>
            <w:vAlign w:val="center"/>
          </w:tcPr>
          <w:p>
            <w:pPr>
              <w:spacing w:before="80" w:after="80" w:line="240" w:lineRule="auto"/>
              <w:jc w:val="center"/>
            </w:pPr>
            <w:r>
              <w:rPr>
                <w:b w:val="0"/>
                <w:sz w:val="20"/>
              </w:rPr>
              <w:t>96</w:t>
            </w:r>
          </w:p>
        </w:tc>
      </w:tr>
      <w:tr>
        <w:tc>
          <w:tcPr>
            <w:tcW w:type="dxa" w:w="7632"/>
            <w:vAlign w:val="center"/>
          </w:tcPr>
          <w:p>
            <w:pPr>
              <w:spacing w:before="80" w:after="80" w:line="240" w:lineRule="auto"/>
            </w:pPr>
            <w:r>
              <w:rPr>
                <w:b w:val="0"/>
                <w:sz w:val="20"/>
              </w:rPr>
              <w:t>Inferred point associations</w:t>
            </w:r>
          </w:p>
        </w:tc>
        <w:tc>
          <w:tcPr>
            <w:tcW w:type="dxa" w:w="2160"/>
            <w:vAlign w:val="center"/>
          </w:tcPr>
          <w:p>
            <w:pPr>
              <w:spacing w:before="80" w:after="80" w:line="240" w:lineRule="auto"/>
              <w:jc w:val="center"/>
            </w:pPr>
            <w:r>
              <w:rPr>
                <w:b w:val="0"/>
                <w:sz w:val="20"/>
              </w:rPr>
              <w:t>14</w:t>
            </w:r>
          </w:p>
        </w:tc>
      </w:tr>
      <w:tr>
        <w:tc>
          <w:tcPr>
            <w:tcW w:type="dxa" w:w="7632"/>
            <w:vAlign w:val="center"/>
          </w:tcPr>
          <w:p>
            <w:pPr>
              <w:spacing w:before="80" w:after="80" w:line="240" w:lineRule="auto"/>
            </w:pPr>
            <w:r>
              <w:rPr>
                <w:b w:val="0"/>
                <w:sz w:val="20"/>
              </w:rPr>
              <w:t>Main reviewer classifications</w:t>
            </w:r>
          </w:p>
        </w:tc>
        <w:tc>
          <w:tcPr>
            <w:tcW w:type="dxa" w:w="2160"/>
            <w:vAlign w:val="center"/>
          </w:tcPr>
          <w:p>
            <w:pPr>
              <w:spacing w:before="80" w:after="80" w:line="240" w:lineRule="auto"/>
              <w:jc w:val="center"/>
            </w:pPr>
            <w:r>
              <w:rPr>
                <w:b w:val="0"/>
                <w:sz w:val="20"/>
              </w:rPr>
              <w:t>275</w:t>
            </w:r>
          </w:p>
        </w:tc>
      </w:tr>
      <w:tr>
        <w:tc>
          <w:tcPr>
            <w:tcW w:type="dxa" w:w="7632"/>
            <w:vAlign w:val="center"/>
          </w:tcPr>
          <w:p>
            <w:pPr>
              <w:spacing w:before="80" w:after="80" w:line="240" w:lineRule="auto"/>
            </w:pPr>
            <w:r>
              <w:rPr>
                <w:b w:val="0"/>
                <w:sz w:val="20"/>
              </w:rPr>
              <w:t>Additional reversed-presentation classifications</w:t>
            </w:r>
          </w:p>
        </w:tc>
        <w:tc>
          <w:tcPr>
            <w:tcW w:type="dxa" w:w="2160"/>
            <w:vAlign w:val="center"/>
          </w:tcPr>
          <w:p>
            <w:pPr>
              <w:spacing w:before="80" w:after="80" w:line="240" w:lineRule="auto"/>
              <w:jc w:val="center"/>
            </w:pPr>
            <w:r>
              <w:rPr>
                <w:b w:val="0"/>
                <w:sz w:val="20"/>
              </w:rPr>
              <w:t>75</w:t>
            </w:r>
          </w:p>
        </w:tc>
      </w:tr>
    </w:tbl>
    <w:p/>
    <w:p>
      <w:r>
        <w:t>The final workbook was treated as authoritative. Its 70 presentations were associated with unique prescribed points using pair identity and coordinates. All 14 inferred links were retained. A confirmed typographic error in an inside/outside label was corrected, and intentional reuse of two observation pairs was preserved. A repeated point-letter label was resolved using coordinates. These decisions are recorded in blind_adjudication_log.csv; reuse of other records remains visible in the point audit.</w:t>
      </w:r>
    </w:p>
    <w:p>
      <w:pPr>
        <w:pStyle w:val="Heading1"/>
      </w:pPr>
      <w:r>
        <w:t>Linkage uncertainty and sample retention</w:t>
      </w:r>
    </w:p>
    <w:p>
      <w:r>
        <w:t>The audit contains 198 prescribed points and preserves the source-record relationships through pseudonymous observation identifiers. Direct-match distances are reported only for direct links. For inferred links, the original distance field can describe a nearby candidate rather than the selected record, so it is not used as an estimate of positional error. The 35 m association threshold likewise does not describe GNSS device accuracy or guarantee that a recorded observation lies on the intended side of a mapped boundary.</w:t>
      </w:r>
    </w:p>
    <w:p>
      <w:r>
        <w:t>Retention differed strongly between the prescribed crop layers: 36 of 41 corn-source pairs were retained (87.8%), compared with 19 of 58 soybean-source pairs (32.8%). The source-layer label describes the prescribed sample and can differ from the crop recorded in the final workbook. Retention also varied among farms, sampling windows, and imagery dates; the complete counts are supplied in blind_retention_comparison.csv.</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176"/>
        <w:gridCol w:w="1584"/>
        <w:gridCol w:w="1584"/>
        <w:gridCol w:w="2448"/>
      </w:tblGrid>
      <w:tr>
        <w:trPr>
          <w:tblHeader/>
        </w:trPr>
        <w:tc>
          <w:tcPr>
            <w:tcW w:type="dxa" w:w="4176"/>
            <w:vAlign w:val="center"/>
            <w:shd w:fill="E8E8E8"/>
          </w:tcPr>
          <w:p>
            <w:pPr>
              <w:spacing w:before="80" w:after="80" w:line="240" w:lineRule="auto"/>
            </w:pPr>
            <w:r>
              <w:rPr>
                <w:b/>
                <w:sz w:val="20"/>
              </w:rPr>
              <w:t>Prescribed source layer</w:t>
            </w:r>
          </w:p>
        </w:tc>
        <w:tc>
          <w:tcPr>
            <w:tcW w:type="dxa" w:w="1584"/>
            <w:vAlign w:val="center"/>
            <w:shd w:fill="E8E8E8"/>
          </w:tcPr>
          <w:p>
            <w:pPr>
              <w:spacing w:before="80" w:after="80" w:line="240" w:lineRule="auto"/>
              <w:jc w:val="center"/>
            </w:pPr>
            <w:r>
              <w:rPr>
                <w:b/>
                <w:sz w:val="20"/>
              </w:rPr>
              <w:t>Planned</w:t>
            </w:r>
          </w:p>
        </w:tc>
        <w:tc>
          <w:tcPr>
            <w:tcW w:type="dxa" w:w="1584"/>
            <w:vAlign w:val="center"/>
            <w:shd w:fill="E8E8E8"/>
          </w:tcPr>
          <w:p>
            <w:pPr>
              <w:spacing w:before="80" w:after="80" w:line="240" w:lineRule="auto"/>
              <w:jc w:val="center"/>
            </w:pPr>
            <w:r>
              <w:rPr>
                <w:b/>
                <w:sz w:val="20"/>
              </w:rPr>
              <w:t>Retained</w:t>
            </w:r>
          </w:p>
        </w:tc>
        <w:tc>
          <w:tcPr>
            <w:tcW w:type="dxa" w:w="2448"/>
            <w:vAlign w:val="center"/>
            <w:shd w:fill="E8E8E8"/>
          </w:tcPr>
          <w:p>
            <w:pPr>
              <w:spacing w:before="80" w:after="80" w:line="240" w:lineRule="auto"/>
              <w:jc w:val="center"/>
            </w:pPr>
            <w:r>
              <w:rPr>
                <w:b/>
                <w:sz w:val="20"/>
              </w:rPr>
              <w:t>Retained percent</w:t>
            </w:r>
          </w:p>
        </w:tc>
      </w:tr>
      <w:tr>
        <w:tc>
          <w:tcPr>
            <w:tcW w:type="dxa" w:w="4176"/>
            <w:vAlign w:val="center"/>
          </w:tcPr>
          <w:p>
            <w:pPr>
              <w:spacing w:before="80" w:after="80" w:line="240" w:lineRule="auto"/>
            </w:pPr>
            <w:r>
              <w:rPr>
                <w:b w:val="0"/>
                <w:sz w:val="20"/>
              </w:rPr>
              <w:t>Corn</w:t>
            </w:r>
          </w:p>
        </w:tc>
        <w:tc>
          <w:tcPr>
            <w:tcW w:type="dxa" w:w="1584"/>
            <w:vAlign w:val="center"/>
          </w:tcPr>
          <w:p>
            <w:pPr>
              <w:spacing w:before="80" w:after="80" w:line="240" w:lineRule="auto"/>
              <w:jc w:val="center"/>
            </w:pPr>
            <w:r>
              <w:rPr>
                <w:b w:val="0"/>
                <w:sz w:val="20"/>
              </w:rPr>
              <w:t>41</w:t>
            </w:r>
          </w:p>
        </w:tc>
        <w:tc>
          <w:tcPr>
            <w:tcW w:type="dxa" w:w="1584"/>
            <w:vAlign w:val="center"/>
          </w:tcPr>
          <w:p>
            <w:pPr>
              <w:spacing w:before="80" w:after="80" w:line="240" w:lineRule="auto"/>
              <w:jc w:val="center"/>
            </w:pPr>
            <w:r>
              <w:rPr>
                <w:b w:val="0"/>
                <w:sz w:val="20"/>
              </w:rPr>
              <w:t>36</w:t>
            </w:r>
          </w:p>
        </w:tc>
        <w:tc>
          <w:tcPr>
            <w:tcW w:type="dxa" w:w="2448"/>
            <w:vAlign w:val="center"/>
          </w:tcPr>
          <w:p>
            <w:pPr>
              <w:spacing w:before="80" w:after="80" w:line="240" w:lineRule="auto"/>
              <w:jc w:val="center"/>
            </w:pPr>
            <w:r>
              <w:rPr>
                <w:b w:val="0"/>
                <w:sz w:val="20"/>
              </w:rPr>
              <w:t>87.8</w:t>
            </w:r>
          </w:p>
        </w:tc>
      </w:tr>
      <w:tr>
        <w:tc>
          <w:tcPr>
            <w:tcW w:type="dxa" w:w="4176"/>
            <w:vAlign w:val="center"/>
          </w:tcPr>
          <w:p>
            <w:pPr>
              <w:spacing w:before="80" w:after="80" w:line="240" w:lineRule="auto"/>
            </w:pPr>
            <w:r>
              <w:rPr>
                <w:b w:val="0"/>
                <w:sz w:val="20"/>
              </w:rPr>
              <w:t>Soybean</w:t>
            </w:r>
          </w:p>
        </w:tc>
        <w:tc>
          <w:tcPr>
            <w:tcW w:type="dxa" w:w="1584"/>
            <w:vAlign w:val="center"/>
          </w:tcPr>
          <w:p>
            <w:pPr>
              <w:spacing w:before="80" w:after="80" w:line="240" w:lineRule="auto"/>
              <w:jc w:val="center"/>
            </w:pPr>
            <w:r>
              <w:rPr>
                <w:b w:val="0"/>
                <w:sz w:val="20"/>
              </w:rPr>
              <w:t>58</w:t>
            </w:r>
          </w:p>
        </w:tc>
        <w:tc>
          <w:tcPr>
            <w:tcW w:type="dxa" w:w="1584"/>
            <w:vAlign w:val="center"/>
          </w:tcPr>
          <w:p>
            <w:pPr>
              <w:spacing w:before="80" w:after="80" w:line="240" w:lineRule="auto"/>
              <w:jc w:val="center"/>
            </w:pPr>
            <w:r>
              <w:rPr>
                <w:b w:val="0"/>
                <w:sz w:val="20"/>
              </w:rPr>
              <w:t>19</w:t>
            </w:r>
          </w:p>
        </w:tc>
        <w:tc>
          <w:tcPr>
            <w:tcW w:type="dxa" w:w="2448"/>
            <w:vAlign w:val="center"/>
          </w:tcPr>
          <w:p>
            <w:pPr>
              <w:spacing w:before="80" w:after="80" w:line="240" w:lineRule="auto"/>
              <w:jc w:val="center"/>
            </w:pPr>
            <w:r>
              <w:rPr>
                <w:b w:val="0"/>
                <w:sz w:val="20"/>
              </w:rPr>
              <w:t>32.8</w:t>
            </w:r>
          </w:p>
        </w:tc>
      </w:tr>
      <w:tr>
        <w:tc>
          <w:tcPr>
            <w:tcW w:type="dxa" w:w="4176"/>
            <w:vAlign w:val="center"/>
          </w:tcPr>
          <w:p>
            <w:pPr>
              <w:spacing w:before="80" w:after="80" w:line="240" w:lineRule="auto"/>
            </w:pPr>
            <w:r>
              <w:rPr>
                <w:b w:val="0"/>
                <w:sz w:val="20"/>
              </w:rPr>
              <w:t>All pairs</w:t>
            </w:r>
          </w:p>
        </w:tc>
        <w:tc>
          <w:tcPr>
            <w:tcW w:type="dxa" w:w="1584"/>
            <w:vAlign w:val="center"/>
          </w:tcPr>
          <w:p>
            <w:pPr>
              <w:spacing w:before="80" w:after="80" w:line="240" w:lineRule="auto"/>
              <w:jc w:val="center"/>
            </w:pPr>
            <w:r>
              <w:rPr>
                <w:b w:val="0"/>
                <w:sz w:val="20"/>
              </w:rPr>
              <w:t>99</w:t>
            </w:r>
          </w:p>
        </w:tc>
        <w:tc>
          <w:tcPr>
            <w:tcW w:type="dxa" w:w="1584"/>
            <w:vAlign w:val="center"/>
          </w:tcPr>
          <w:p>
            <w:pPr>
              <w:spacing w:before="80" w:after="80" w:line="240" w:lineRule="auto"/>
              <w:jc w:val="center"/>
            </w:pPr>
            <w:r>
              <w:rPr>
                <w:b w:val="0"/>
                <w:sz w:val="20"/>
              </w:rPr>
              <w:t>55</w:t>
            </w:r>
          </w:p>
        </w:tc>
        <w:tc>
          <w:tcPr>
            <w:tcW w:type="dxa" w:w="2448"/>
            <w:vAlign w:val="center"/>
          </w:tcPr>
          <w:p>
            <w:pPr>
              <w:spacing w:before="80" w:after="80" w:line="240" w:lineRule="auto"/>
              <w:jc w:val="center"/>
            </w:pPr>
            <w:r>
              <w:rPr>
                <w:b w:val="0"/>
                <w:sz w:val="20"/>
              </w:rPr>
              <w:t>55.6</w:t>
            </w:r>
          </w:p>
        </w:tc>
      </w:tr>
    </w:tbl>
    <w:p/>
    <w:p>
      <w:r>
        <w:t>The two-sided Fisher exact comparison of retention by crop layer gave p &lt; 0.001. The corresponding comparison by mapped direction gave p = 0.308. Median planned target–reference separation was 19.7 m for retained pairs and 18.2 m for excluded pairs (two-sided Mann–Whitney U test, p = 0.919). These exploratory comparisons are unadjusted for field clustering and multiple testing. Lack of a detected association does not demonstrate that the retained sample is representative.</w:t>
      </w:r>
    </w:p>
    <w:p>
      <w:r>
        <w:t>The retained set should therefore be interpreted as the subset for which observations could be reconstructed into the final target–reference presentations. Missing or inadequate location information can produce selective retention even when confirmation outcomes are not used to decide which pairs to retain. The public audit documents the delivered associations but cannot independently establish the cause of every unmatched point or eliminate uncertainty in inferred associations.</w:t>
      </w:r>
    </w:p>
    <w:p>
      <w:pPr>
        <w:pStyle w:val="Heading1"/>
      </w:pPr>
      <w:r>
        <w:t>Analysis units and eligible classifications</w:t>
      </w:r>
    </w:p>
    <w:p>
      <w:r>
        <w:t>The main blinded analysis used one target-primary presentation per pair and five reviewer classifications per presentation. Confirmed, Possibly Confirmed, and Not Confirmed were evaluable presence responses. Indeterminate and Excluded responses did not enter presence-rule denominators. At least two valid presence responses were required. Of the 55 retained pairs, 53 met this requirement: 3 had two valid responses, 5 had three, 12 had four, and 33 had five.</w:t>
      </w:r>
    </w:p>
    <w:p>
      <w:r>
        <w:t>Direction was summarized by the unique mode of Positive, Negative, and Same responses. Ties and an absent mode were unresolved. Binary direction agreement required a Positive or Negative mode that matched the mapped direction. No additional minimum-response requirement was imposed on direction aggregation. A pair could remain evaluable for presence when direction was unavailable. Individual-reviewer direction analyses used only Positive and Negative responses.</w:t>
      </w:r>
    </w:p>
    <w:p>
      <w:pPr>
        <w:pStyle w:val="Heading1"/>
      </w:pPr>
      <w:r>
        <w:t>Presence rules and sensitivity analyses</w:t>
      </w:r>
    </w:p>
    <w:p>
      <w:r>
        <w:t>The primary Moderate rule required at least 75% of evaluable presence responses to be Confirmed or Possibly Confirmed, with the required count rounded upward. Strict required the same proportion to be Confirmed. Liberal required at least 50% to be Confirmed or Possibly Confirmed. All three rules required at least two valid responses.</w:t>
      </w:r>
    </w:p>
    <w:p>
      <w:r>
        <w:t>The confidence-weighted rule assigned support scores of 1, 0.5, and 0 to Confirmed, Possibly Confirmed, and Not Confirmed. High, Medium, and Low confidence received weights of 1, 2/3, and 1/3. Responses without a valid confidence weight were omitted from the weighted mean. A mean of at least 0.5 indicated support, subject to the same minimum of two valid presence responses. Calculations retained the supplied script’s unrounded floating-point values.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2160"/>
        <w:gridCol w:w="1440"/>
        <w:gridCol w:w="2880"/>
      </w:tblGrid>
      <w:tr>
        <w:trPr>
          <w:tblHeader/>
        </w:trPr>
        <w:tc>
          <w:tcPr>
            <w:tcW w:type="dxa" w:w="3312"/>
            <w:vAlign w:val="center"/>
            <w:shd w:fill="E8E8E8"/>
          </w:tcPr>
          <w:p>
            <w:pPr>
              <w:spacing w:before="80" w:after="80" w:line="240" w:lineRule="auto"/>
            </w:pPr>
            <w:r>
              <w:rPr>
                <w:b/>
                <w:sz w:val="20"/>
              </w:rPr>
              <w:t>Presence rule</w:t>
            </w:r>
          </w:p>
        </w:tc>
        <w:tc>
          <w:tcPr>
            <w:tcW w:type="dxa" w:w="2160"/>
            <w:vAlign w:val="center"/>
            <w:shd w:fill="E8E8E8"/>
          </w:tcPr>
          <w:p>
            <w:pPr>
              <w:spacing w:before="80" w:after="80" w:line="240" w:lineRule="auto"/>
              <w:jc w:val="center"/>
            </w:pPr>
            <w:r>
              <w:rPr>
                <w:b/>
                <w:sz w:val="20"/>
              </w:rPr>
              <w:t>Supported pairs</w:t>
            </w:r>
          </w:p>
        </w:tc>
        <w:tc>
          <w:tcPr>
            <w:tcW w:type="dxa" w:w="1440"/>
            <w:vAlign w:val="center"/>
            <w:shd w:fill="E8E8E8"/>
          </w:tcPr>
          <w:p>
            <w:pPr>
              <w:spacing w:before="80" w:after="80" w:line="240" w:lineRule="auto"/>
              <w:jc w:val="center"/>
            </w:pPr>
            <w:r>
              <w:rPr>
                <w:b/>
                <w:sz w:val="20"/>
              </w:rPr>
              <w:t>Percent</w:t>
            </w:r>
          </w:p>
        </w:tc>
        <w:tc>
          <w:tcPr>
            <w:tcW w:type="dxa" w:w="2880"/>
            <w:vAlign w:val="center"/>
            <w:shd w:fill="E8E8E8"/>
          </w:tcPr>
          <w:p>
            <w:pPr>
              <w:spacing w:before="80" w:after="80" w:line="240" w:lineRule="auto"/>
              <w:jc w:val="center"/>
            </w:pPr>
            <w:r>
              <w:rPr>
                <w:b/>
                <w:sz w:val="20"/>
              </w:rPr>
              <w:t>95 percent CI</w:t>
            </w:r>
          </w:p>
        </w:tc>
      </w:tr>
      <w:tr>
        <w:tc>
          <w:tcPr>
            <w:tcW w:type="dxa" w:w="3312"/>
            <w:vAlign w:val="center"/>
          </w:tcPr>
          <w:p>
            <w:pPr>
              <w:spacing w:before="80" w:after="80" w:line="240" w:lineRule="auto"/>
            </w:pPr>
            <w:r>
              <w:rPr>
                <w:b w:val="0"/>
                <w:sz w:val="20"/>
              </w:rPr>
              <w:t>Strict</w:t>
            </w:r>
          </w:p>
        </w:tc>
        <w:tc>
          <w:tcPr>
            <w:tcW w:type="dxa" w:w="2160"/>
            <w:vAlign w:val="center"/>
          </w:tcPr>
          <w:p>
            <w:pPr>
              <w:spacing w:before="80" w:after="80" w:line="240" w:lineRule="auto"/>
              <w:jc w:val="center"/>
            </w:pPr>
            <w:r>
              <w:rPr>
                <w:b w:val="0"/>
                <w:sz w:val="20"/>
              </w:rPr>
              <w:t>20/53</w:t>
            </w:r>
          </w:p>
        </w:tc>
        <w:tc>
          <w:tcPr>
            <w:tcW w:type="dxa" w:w="1440"/>
            <w:vAlign w:val="center"/>
          </w:tcPr>
          <w:p>
            <w:pPr>
              <w:spacing w:before="80" w:after="80" w:line="240" w:lineRule="auto"/>
              <w:jc w:val="center"/>
            </w:pPr>
            <w:r>
              <w:rPr>
                <w:b w:val="0"/>
                <w:sz w:val="20"/>
              </w:rPr>
              <w:t>37.7</w:t>
            </w:r>
          </w:p>
        </w:tc>
        <w:tc>
          <w:tcPr>
            <w:tcW w:type="dxa" w:w="2880"/>
            <w:vAlign w:val="center"/>
          </w:tcPr>
          <w:p>
            <w:pPr>
              <w:spacing w:before="80" w:after="80" w:line="240" w:lineRule="auto"/>
              <w:jc w:val="center"/>
            </w:pPr>
            <w:r>
              <w:rPr>
                <w:b w:val="0"/>
                <w:sz w:val="20"/>
              </w:rPr>
              <w:t>21.3–53.4</w:t>
            </w:r>
          </w:p>
        </w:tc>
      </w:tr>
      <w:tr>
        <w:tc>
          <w:tcPr>
            <w:tcW w:type="dxa" w:w="3312"/>
            <w:vAlign w:val="center"/>
          </w:tcPr>
          <w:p>
            <w:pPr>
              <w:spacing w:before="80" w:after="80" w:line="240" w:lineRule="auto"/>
            </w:pPr>
            <w:r>
              <w:rPr>
                <w:b w:val="0"/>
                <w:sz w:val="20"/>
              </w:rPr>
              <w:t>Moderate</w:t>
            </w:r>
          </w:p>
        </w:tc>
        <w:tc>
          <w:tcPr>
            <w:tcW w:type="dxa" w:w="2160"/>
            <w:vAlign w:val="center"/>
          </w:tcPr>
          <w:p>
            <w:pPr>
              <w:spacing w:before="80" w:after="80" w:line="240" w:lineRule="auto"/>
              <w:jc w:val="center"/>
            </w:pPr>
            <w:r>
              <w:rPr>
                <w:b w:val="0"/>
                <w:sz w:val="20"/>
              </w:rPr>
              <w:t>25/53</w:t>
            </w:r>
          </w:p>
        </w:tc>
        <w:tc>
          <w:tcPr>
            <w:tcW w:type="dxa" w:w="1440"/>
            <w:vAlign w:val="center"/>
          </w:tcPr>
          <w:p>
            <w:pPr>
              <w:spacing w:before="80" w:after="80" w:line="240" w:lineRule="auto"/>
              <w:jc w:val="center"/>
            </w:pPr>
            <w:r>
              <w:rPr>
                <w:b w:val="0"/>
                <w:sz w:val="20"/>
              </w:rPr>
              <w:t>47.2</w:t>
            </w:r>
          </w:p>
        </w:tc>
        <w:tc>
          <w:tcPr>
            <w:tcW w:type="dxa" w:w="2880"/>
            <w:vAlign w:val="center"/>
          </w:tcPr>
          <w:p>
            <w:pPr>
              <w:spacing w:before="80" w:after="80" w:line="240" w:lineRule="auto"/>
              <w:jc w:val="center"/>
            </w:pPr>
            <w:r>
              <w:rPr>
                <w:b w:val="0"/>
                <w:sz w:val="20"/>
              </w:rPr>
              <w:t>32.0–61.1</w:t>
            </w:r>
          </w:p>
        </w:tc>
      </w:tr>
      <w:tr>
        <w:tc>
          <w:tcPr>
            <w:tcW w:type="dxa" w:w="3312"/>
            <w:vAlign w:val="center"/>
          </w:tcPr>
          <w:p>
            <w:pPr>
              <w:spacing w:before="80" w:after="80" w:line="240" w:lineRule="auto"/>
            </w:pPr>
            <w:r>
              <w:rPr>
                <w:b w:val="0"/>
                <w:sz w:val="20"/>
              </w:rPr>
              <w:t>Liberal</w:t>
            </w:r>
          </w:p>
        </w:tc>
        <w:tc>
          <w:tcPr>
            <w:tcW w:type="dxa" w:w="2160"/>
            <w:vAlign w:val="center"/>
          </w:tcPr>
          <w:p>
            <w:pPr>
              <w:spacing w:before="80" w:after="80" w:line="240" w:lineRule="auto"/>
              <w:jc w:val="center"/>
            </w:pPr>
            <w:r>
              <w:rPr>
                <w:b w:val="0"/>
                <w:sz w:val="20"/>
              </w:rPr>
              <w:t>32/53</w:t>
            </w:r>
          </w:p>
        </w:tc>
        <w:tc>
          <w:tcPr>
            <w:tcW w:type="dxa" w:w="1440"/>
            <w:vAlign w:val="center"/>
          </w:tcPr>
          <w:p>
            <w:pPr>
              <w:spacing w:before="80" w:after="80" w:line="240" w:lineRule="auto"/>
              <w:jc w:val="center"/>
            </w:pPr>
            <w:r>
              <w:rPr>
                <w:b w:val="0"/>
                <w:sz w:val="20"/>
              </w:rPr>
              <w:t>60.4</w:t>
            </w:r>
          </w:p>
        </w:tc>
        <w:tc>
          <w:tcPr>
            <w:tcW w:type="dxa" w:w="2880"/>
            <w:vAlign w:val="center"/>
          </w:tcPr>
          <w:p>
            <w:pPr>
              <w:spacing w:before="80" w:after="80" w:line="240" w:lineRule="auto"/>
              <w:jc w:val="center"/>
            </w:pPr>
            <w:r>
              <w:rPr>
                <w:b w:val="0"/>
                <w:sz w:val="20"/>
              </w:rPr>
              <w:t>44.7–74.2</w:t>
            </w:r>
          </w:p>
        </w:tc>
      </w:tr>
      <w:tr>
        <w:tc>
          <w:tcPr>
            <w:tcW w:type="dxa" w:w="3312"/>
            <w:vAlign w:val="center"/>
          </w:tcPr>
          <w:p>
            <w:pPr>
              <w:spacing w:before="80" w:after="80" w:line="240" w:lineRule="auto"/>
            </w:pPr>
            <w:r>
              <w:rPr>
                <w:b w:val="0"/>
                <w:sz w:val="20"/>
              </w:rPr>
              <w:t>Confidence-weighted</w:t>
            </w:r>
          </w:p>
        </w:tc>
        <w:tc>
          <w:tcPr>
            <w:tcW w:type="dxa" w:w="2160"/>
            <w:vAlign w:val="center"/>
          </w:tcPr>
          <w:p>
            <w:pPr>
              <w:spacing w:before="80" w:after="80" w:line="240" w:lineRule="auto"/>
              <w:jc w:val="center"/>
            </w:pPr>
            <w:r>
              <w:rPr>
                <w:b w:val="0"/>
                <w:sz w:val="20"/>
              </w:rPr>
              <w:t>25/53</w:t>
            </w:r>
          </w:p>
        </w:tc>
        <w:tc>
          <w:tcPr>
            <w:tcW w:type="dxa" w:w="1440"/>
            <w:vAlign w:val="center"/>
          </w:tcPr>
          <w:p>
            <w:pPr>
              <w:spacing w:before="80" w:after="80" w:line="240" w:lineRule="auto"/>
              <w:jc w:val="center"/>
            </w:pPr>
            <w:r>
              <w:rPr>
                <w:b w:val="0"/>
                <w:sz w:val="20"/>
              </w:rPr>
              <w:t>47.2</w:t>
            </w:r>
          </w:p>
        </w:tc>
        <w:tc>
          <w:tcPr>
            <w:tcW w:type="dxa" w:w="2880"/>
            <w:vAlign w:val="center"/>
          </w:tcPr>
          <w:p>
            <w:pPr>
              <w:spacing w:before="80" w:after="80" w:line="240" w:lineRule="auto"/>
              <w:jc w:val="center"/>
            </w:pPr>
            <w:r>
              <w:rPr>
                <w:b w:val="0"/>
                <w:sz w:val="20"/>
              </w:rPr>
              <w:t>30.8–63.0</w:t>
            </w:r>
          </w:p>
        </w:tc>
      </w:tr>
    </w:tbl>
    <w:p/>
    <w:p>
      <w:r>
        <w:t>The Moderate estimate was 25/53, or 47.2%, with a 95% field-cluster bootstrap interval of 32.0–61.1%. Crop-specific results are included in blind_endpoint_summary.csv. Some crop strata are very small; their estimates should not be interpreted as stable measures of crop-specific performance.</w:t>
      </w:r>
    </w:p>
    <w:p>
      <w:r>
        <w:t>Two sensitivity analyses examined reviewer composition and completeness. The subset without identified competing interests retained R1, R3, and R5, excluding the two author-identified reviewers R2 and R4. Complete cases required evaluable presence responses from all five reviewers. The complete-case definition is explicit here so that its denominator can be reproduced; it is an analysis restriction, not a separate field sample.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2160"/>
        <w:gridCol w:w="2448"/>
        <w:gridCol w:w="2160"/>
      </w:tblGrid>
      <w:tr>
        <w:trPr>
          <w:tblHeader/>
        </w:trPr>
        <w:tc>
          <w:tcPr>
            <w:tcW w:type="dxa" w:w="3024"/>
            <w:vAlign w:val="center"/>
            <w:shd w:fill="E8E8E8"/>
          </w:tcPr>
          <w:p>
            <w:pPr>
              <w:spacing w:before="80" w:after="80" w:line="240" w:lineRule="auto"/>
            </w:pPr>
            <w:r>
              <w:rPr>
                <w:b/>
                <w:sz w:val="20"/>
              </w:rPr>
              <w:t>Rule</w:t>
            </w:r>
          </w:p>
        </w:tc>
        <w:tc>
          <w:tcPr>
            <w:tcW w:type="dxa" w:w="2160"/>
            <w:vAlign w:val="center"/>
            <w:shd w:fill="E8E8E8"/>
          </w:tcPr>
          <w:p>
            <w:pPr>
              <w:spacing w:before="80" w:after="80" w:line="240" w:lineRule="auto"/>
              <w:jc w:val="center"/>
            </w:pPr>
            <w:r>
              <w:rPr>
                <w:b/>
                <w:sz w:val="20"/>
              </w:rPr>
              <w:t>All five reviewers</w:t>
            </w:r>
          </w:p>
        </w:tc>
        <w:tc>
          <w:tcPr>
            <w:tcW w:type="dxa" w:w="2448"/>
            <w:vAlign w:val="center"/>
            <w:shd w:fill="E8E8E8"/>
          </w:tcPr>
          <w:p>
            <w:pPr>
              <w:spacing w:before="80" w:after="80" w:line="240" w:lineRule="auto"/>
              <w:jc w:val="center"/>
            </w:pPr>
            <w:r>
              <w:rPr>
                <w:b/>
                <w:sz w:val="20"/>
              </w:rPr>
              <w:t>No competing interests</w:t>
            </w:r>
          </w:p>
        </w:tc>
        <w:tc>
          <w:tcPr>
            <w:tcW w:type="dxa" w:w="2160"/>
            <w:vAlign w:val="center"/>
            <w:shd w:fill="E8E8E8"/>
          </w:tcPr>
          <w:p>
            <w:pPr>
              <w:spacing w:before="80" w:after="80" w:line="240" w:lineRule="auto"/>
              <w:jc w:val="center"/>
            </w:pPr>
            <w:r>
              <w:rPr>
                <w:b/>
                <w:sz w:val="20"/>
              </w:rPr>
              <w:t>Complete cases</w:t>
            </w:r>
          </w:p>
        </w:tc>
      </w:tr>
      <w:tr>
        <w:tc>
          <w:tcPr>
            <w:tcW w:type="dxa" w:w="3024"/>
            <w:vAlign w:val="center"/>
          </w:tcPr>
          <w:p>
            <w:pPr>
              <w:spacing w:before="80" w:after="80" w:line="240" w:lineRule="auto"/>
            </w:pPr>
            <w:r>
              <w:rPr>
                <w:b w:val="0"/>
                <w:sz w:val="20"/>
              </w:rPr>
              <w:t>Strict</w:t>
            </w:r>
          </w:p>
        </w:tc>
        <w:tc>
          <w:tcPr>
            <w:tcW w:type="dxa" w:w="2160"/>
            <w:vAlign w:val="center"/>
          </w:tcPr>
          <w:p>
            <w:pPr>
              <w:spacing w:before="80" w:after="80" w:line="240" w:lineRule="auto"/>
              <w:jc w:val="center"/>
            </w:pPr>
            <w:r>
              <w:rPr>
                <w:b w:val="0"/>
                <w:sz w:val="20"/>
              </w:rPr>
              <w:t>20/53</w:t>
            </w:r>
          </w:p>
        </w:tc>
        <w:tc>
          <w:tcPr>
            <w:tcW w:type="dxa" w:w="2448"/>
            <w:vAlign w:val="center"/>
          </w:tcPr>
          <w:p>
            <w:pPr>
              <w:spacing w:before="80" w:after="80" w:line="240" w:lineRule="auto"/>
              <w:jc w:val="center"/>
            </w:pPr>
            <w:r>
              <w:rPr>
                <w:b w:val="0"/>
                <w:sz w:val="20"/>
              </w:rPr>
              <w:t>10/53</w:t>
            </w:r>
          </w:p>
        </w:tc>
        <w:tc>
          <w:tcPr>
            <w:tcW w:type="dxa" w:w="2160"/>
            <w:vAlign w:val="center"/>
          </w:tcPr>
          <w:p>
            <w:pPr>
              <w:spacing w:before="80" w:after="80" w:line="240" w:lineRule="auto"/>
              <w:jc w:val="center"/>
            </w:pPr>
            <w:r>
              <w:rPr>
                <w:b w:val="0"/>
                <w:sz w:val="20"/>
              </w:rPr>
              <w:t>12/33</w:t>
            </w:r>
          </w:p>
        </w:tc>
      </w:tr>
      <w:tr>
        <w:tc>
          <w:tcPr>
            <w:tcW w:type="dxa" w:w="3024"/>
            <w:vAlign w:val="center"/>
          </w:tcPr>
          <w:p>
            <w:pPr>
              <w:spacing w:before="80" w:after="80" w:line="240" w:lineRule="auto"/>
            </w:pPr>
            <w:r>
              <w:rPr>
                <w:b w:val="0"/>
                <w:sz w:val="20"/>
              </w:rPr>
              <w:t>Moderate</w:t>
            </w:r>
          </w:p>
        </w:tc>
        <w:tc>
          <w:tcPr>
            <w:tcW w:type="dxa" w:w="2160"/>
            <w:vAlign w:val="center"/>
          </w:tcPr>
          <w:p>
            <w:pPr>
              <w:spacing w:before="80" w:after="80" w:line="240" w:lineRule="auto"/>
              <w:jc w:val="center"/>
            </w:pPr>
            <w:r>
              <w:rPr>
                <w:b w:val="0"/>
                <w:sz w:val="20"/>
              </w:rPr>
              <w:t>25/53</w:t>
            </w:r>
          </w:p>
        </w:tc>
        <w:tc>
          <w:tcPr>
            <w:tcW w:type="dxa" w:w="2448"/>
            <w:vAlign w:val="center"/>
          </w:tcPr>
          <w:p>
            <w:pPr>
              <w:spacing w:before="80" w:after="80" w:line="240" w:lineRule="auto"/>
              <w:jc w:val="center"/>
            </w:pPr>
            <w:r>
              <w:rPr>
                <w:b w:val="0"/>
                <w:sz w:val="20"/>
              </w:rPr>
              <w:t>17/53</w:t>
            </w:r>
          </w:p>
        </w:tc>
        <w:tc>
          <w:tcPr>
            <w:tcW w:type="dxa" w:w="2160"/>
            <w:vAlign w:val="center"/>
          </w:tcPr>
          <w:p>
            <w:pPr>
              <w:spacing w:before="80" w:after="80" w:line="240" w:lineRule="auto"/>
              <w:jc w:val="center"/>
            </w:pPr>
            <w:r>
              <w:rPr>
                <w:b w:val="0"/>
                <w:sz w:val="20"/>
              </w:rPr>
              <w:t>17/33</w:t>
            </w:r>
          </w:p>
        </w:tc>
      </w:tr>
      <w:tr>
        <w:tc>
          <w:tcPr>
            <w:tcW w:type="dxa" w:w="3024"/>
            <w:vAlign w:val="center"/>
          </w:tcPr>
          <w:p>
            <w:pPr>
              <w:spacing w:before="80" w:after="80" w:line="240" w:lineRule="auto"/>
            </w:pPr>
            <w:r>
              <w:rPr>
                <w:b w:val="0"/>
                <w:sz w:val="20"/>
              </w:rPr>
              <w:t>Liberal</w:t>
            </w:r>
          </w:p>
        </w:tc>
        <w:tc>
          <w:tcPr>
            <w:tcW w:type="dxa" w:w="2160"/>
            <w:vAlign w:val="center"/>
          </w:tcPr>
          <w:p>
            <w:pPr>
              <w:spacing w:before="80" w:after="80" w:line="240" w:lineRule="auto"/>
              <w:jc w:val="center"/>
            </w:pPr>
            <w:r>
              <w:rPr>
                <w:b w:val="0"/>
                <w:sz w:val="20"/>
              </w:rPr>
              <w:t>32/53</w:t>
            </w:r>
          </w:p>
        </w:tc>
        <w:tc>
          <w:tcPr>
            <w:tcW w:type="dxa" w:w="2448"/>
            <w:vAlign w:val="center"/>
          </w:tcPr>
          <w:p>
            <w:pPr>
              <w:spacing w:before="80" w:after="80" w:line="240" w:lineRule="auto"/>
              <w:jc w:val="center"/>
            </w:pPr>
            <w:r>
              <w:rPr>
                <w:b w:val="0"/>
                <w:sz w:val="20"/>
              </w:rPr>
              <w:t>27/53</w:t>
            </w:r>
          </w:p>
        </w:tc>
        <w:tc>
          <w:tcPr>
            <w:tcW w:type="dxa" w:w="2160"/>
            <w:vAlign w:val="center"/>
          </w:tcPr>
          <w:p>
            <w:pPr>
              <w:spacing w:before="80" w:after="80" w:line="240" w:lineRule="auto"/>
              <w:jc w:val="center"/>
            </w:pPr>
            <w:r>
              <w:rPr>
                <w:b w:val="0"/>
                <w:sz w:val="20"/>
              </w:rPr>
              <w:t>21/33</w:t>
            </w:r>
          </w:p>
        </w:tc>
      </w:tr>
      <w:tr>
        <w:tc>
          <w:tcPr>
            <w:tcW w:type="dxa" w:w="3024"/>
            <w:vAlign w:val="center"/>
          </w:tcPr>
          <w:p>
            <w:pPr>
              <w:spacing w:before="80" w:after="80" w:line="240" w:lineRule="auto"/>
            </w:pPr>
            <w:r>
              <w:rPr>
                <w:b w:val="0"/>
                <w:sz w:val="20"/>
              </w:rPr>
              <w:t>Confidence-weighted</w:t>
            </w:r>
          </w:p>
        </w:tc>
        <w:tc>
          <w:tcPr>
            <w:tcW w:type="dxa" w:w="2160"/>
            <w:vAlign w:val="center"/>
          </w:tcPr>
          <w:p>
            <w:pPr>
              <w:spacing w:before="80" w:after="80" w:line="240" w:lineRule="auto"/>
              <w:jc w:val="center"/>
            </w:pPr>
            <w:r>
              <w:rPr>
                <w:b w:val="0"/>
                <w:sz w:val="20"/>
              </w:rPr>
              <w:t>25/53</w:t>
            </w:r>
          </w:p>
        </w:tc>
        <w:tc>
          <w:tcPr>
            <w:tcW w:type="dxa" w:w="2448"/>
            <w:vAlign w:val="center"/>
          </w:tcPr>
          <w:p>
            <w:pPr>
              <w:spacing w:before="80" w:after="80" w:line="240" w:lineRule="auto"/>
              <w:jc w:val="center"/>
            </w:pPr>
            <w:r>
              <w:rPr>
                <w:b w:val="0"/>
                <w:sz w:val="20"/>
              </w:rPr>
              <w:t>22/53</w:t>
            </w:r>
          </w:p>
        </w:tc>
        <w:tc>
          <w:tcPr>
            <w:tcW w:type="dxa" w:w="2160"/>
            <w:vAlign w:val="center"/>
          </w:tcPr>
          <w:p>
            <w:pPr>
              <w:spacing w:before="80" w:after="80" w:line="240" w:lineRule="auto"/>
              <w:jc w:val="center"/>
            </w:pPr>
            <w:r>
              <w:rPr>
                <w:b w:val="0"/>
                <w:sz w:val="20"/>
              </w:rPr>
              <w:t>16/33</w:t>
            </w:r>
          </w:p>
        </w:tc>
      </w:tr>
    </w:tbl>
    <w:p/>
    <w:p>
      <w:r>
        <w:t>Moderate support was 17/53 (32.1%) without the two reviewers with identified competing interests, and 17/33 (51.5%) among complete cases. The lower estimate for the three-reviewer subset reflects both reviewer composition and the effective threshold: with two or three valid responses, Moderate requires unanimity. These results show sensitivity to the chosen panel and rule rather than identifying one estimate as external ground truth.</w:t>
      </w:r>
    </w:p>
    <w:p>
      <w:pPr>
        <w:pStyle w:val="Heading1"/>
      </w:pPr>
      <w:r>
        <w:t>Composite outcomes and interval estimation</w:t>
      </w:r>
    </w:p>
    <w:p>
      <w:r>
        <w:t>Full correspondence required Moderate presence support and a matching binary direction consensus. Presence-only correspondence required Moderate support with a mismatched, tied, Same, or unavailable direction. No correspondence meant that presence was evaluable but Moderate support was absent. This produced 18 full-correspondence pairs, 7 presence-only pairs, and 28 pairs with no correspondence. The two presence-nonevaluable pairs were omitted only from endpoints requiring presence evaluability.</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20"/>
        <w:gridCol w:w="2736"/>
        <w:gridCol w:w="2736"/>
      </w:tblGrid>
      <w:tr>
        <w:trPr>
          <w:tblHeader/>
        </w:trPr>
        <w:tc>
          <w:tcPr>
            <w:tcW w:type="dxa" w:w="4320"/>
            <w:vAlign w:val="center"/>
            <w:shd w:fill="E8E8E8"/>
          </w:tcPr>
          <w:p>
            <w:pPr>
              <w:spacing w:before="80" w:after="80" w:line="240" w:lineRule="auto"/>
            </w:pPr>
            <w:r>
              <w:rPr>
                <w:b/>
                <w:sz w:val="20"/>
              </w:rPr>
              <w:t>Composite category</w:t>
            </w:r>
          </w:p>
        </w:tc>
        <w:tc>
          <w:tcPr>
            <w:tcW w:type="dxa" w:w="2736"/>
            <w:vAlign w:val="center"/>
            <w:shd w:fill="E8E8E8"/>
          </w:tcPr>
          <w:p>
            <w:pPr>
              <w:spacing w:before="80" w:after="80" w:line="240" w:lineRule="auto"/>
              <w:jc w:val="center"/>
            </w:pPr>
            <w:r>
              <w:rPr>
                <w:b/>
                <w:sz w:val="20"/>
              </w:rPr>
              <w:t>Output blinded</w:t>
            </w:r>
          </w:p>
        </w:tc>
        <w:tc>
          <w:tcPr>
            <w:tcW w:type="dxa" w:w="2736"/>
            <w:vAlign w:val="center"/>
            <w:shd w:fill="E8E8E8"/>
          </w:tcPr>
          <w:p>
            <w:pPr>
              <w:spacing w:before="80" w:after="80" w:line="240" w:lineRule="auto"/>
              <w:jc w:val="center"/>
            </w:pPr>
            <w:r>
              <w:rPr>
                <w:b/>
                <w:sz w:val="20"/>
              </w:rPr>
              <w:t>RTK guided</w:t>
            </w:r>
          </w:p>
        </w:tc>
      </w:tr>
      <w:tr>
        <w:tc>
          <w:tcPr>
            <w:tcW w:type="dxa" w:w="4320"/>
            <w:vAlign w:val="center"/>
          </w:tcPr>
          <w:p>
            <w:pPr>
              <w:spacing w:before="80" w:after="80" w:line="240" w:lineRule="auto"/>
            </w:pPr>
            <w:r>
              <w:rPr>
                <w:b w:val="0"/>
                <w:sz w:val="20"/>
              </w:rPr>
              <w:t>Full correspondence</w:t>
            </w:r>
          </w:p>
        </w:tc>
        <w:tc>
          <w:tcPr>
            <w:tcW w:type="dxa" w:w="2736"/>
            <w:vAlign w:val="center"/>
          </w:tcPr>
          <w:p>
            <w:pPr>
              <w:spacing w:before="80" w:after="80" w:line="240" w:lineRule="auto"/>
              <w:jc w:val="center"/>
            </w:pPr>
            <w:r>
              <w:rPr>
                <w:b w:val="0"/>
                <w:sz w:val="20"/>
              </w:rPr>
              <w:t>18/53 (34.0%)</w:t>
            </w:r>
          </w:p>
        </w:tc>
        <w:tc>
          <w:tcPr>
            <w:tcW w:type="dxa" w:w="2736"/>
            <w:vAlign w:val="center"/>
          </w:tcPr>
          <w:p>
            <w:pPr>
              <w:spacing w:before="80" w:after="80" w:line="240" w:lineRule="auto"/>
              <w:jc w:val="center"/>
            </w:pPr>
            <w:r>
              <w:rPr>
                <w:b w:val="0"/>
                <w:sz w:val="20"/>
              </w:rPr>
              <w:t>37/53 (69.8%)</w:t>
            </w:r>
          </w:p>
        </w:tc>
      </w:tr>
      <w:tr>
        <w:tc>
          <w:tcPr>
            <w:tcW w:type="dxa" w:w="4320"/>
            <w:vAlign w:val="center"/>
          </w:tcPr>
          <w:p>
            <w:pPr>
              <w:spacing w:before="80" w:after="80" w:line="240" w:lineRule="auto"/>
            </w:pPr>
            <w:r>
              <w:rPr>
                <w:b w:val="0"/>
                <w:sz w:val="20"/>
              </w:rPr>
              <w:t>Presence only</w:t>
            </w:r>
          </w:p>
        </w:tc>
        <w:tc>
          <w:tcPr>
            <w:tcW w:type="dxa" w:w="2736"/>
            <w:vAlign w:val="center"/>
          </w:tcPr>
          <w:p>
            <w:pPr>
              <w:spacing w:before="80" w:after="80" w:line="240" w:lineRule="auto"/>
              <w:jc w:val="center"/>
            </w:pPr>
            <w:r>
              <w:rPr>
                <w:b w:val="0"/>
                <w:sz w:val="20"/>
              </w:rPr>
              <w:t>7/53 (13.2%)</w:t>
            </w:r>
          </w:p>
        </w:tc>
        <w:tc>
          <w:tcPr>
            <w:tcW w:type="dxa" w:w="2736"/>
            <w:vAlign w:val="center"/>
          </w:tcPr>
          <w:p>
            <w:pPr>
              <w:spacing w:before="80" w:after="80" w:line="240" w:lineRule="auto"/>
              <w:jc w:val="center"/>
            </w:pPr>
            <w:r>
              <w:rPr>
                <w:b w:val="0"/>
                <w:sz w:val="20"/>
              </w:rPr>
              <w:t>7/53 (13.2%)</w:t>
            </w:r>
          </w:p>
        </w:tc>
      </w:tr>
      <w:tr>
        <w:tc>
          <w:tcPr>
            <w:tcW w:type="dxa" w:w="4320"/>
            <w:vAlign w:val="center"/>
          </w:tcPr>
          <w:p>
            <w:pPr>
              <w:spacing w:before="80" w:after="80" w:line="240" w:lineRule="auto"/>
            </w:pPr>
            <w:r>
              <w:rPr>
                <w:b w:val="0"/>
                <w:sz w:val="20"/>
              </w:rPr>
              <w:t>No correspondence</w:t>
            </w:r>
          </w:p>
        </w:tc>
        <w:tc>
          <w:tcPr>
            <w:tcW w:type="dxa" w:w="2736"/>
            <w:vAlign w:val="center"/>
          </w:tcPr>
          <w:p>
            <w:pPr>
              <w:spacing w:before="80" w:after="80" w:line="240" w:lineRule="auto"/>
              <w:jc w:val="center"/>
            </w:pPr>
            <w:r>
              <w:rPr>
                <w:b w:val="0"/>
                <w:sz w:val="20"/>
              </w:rPr>
              <w:t>28/53 (52.8%)</w:t>
            </w:r>
          </w:p>
        </w:tc>
        <w:tc>
          <w:tcPr>
            <w:tcW w:type="dxa" w:w="2736"/>
            <w:vAlign w:val="center"/>
          </w:tcPr>
          <w:p>
            <w:pPr>
              <w:spacing w:before="80" w:after="80" w:line="240" w:lineRule="auto"/>
              <w:jc w:val="center"/>
            </w:pPr>
            <w:r>
              <w:rPr>
                <w:b w:val="0"/>
                <w:sz w:val="20"/>
              </w:rPr>
              <w:t>9/53 (17.0%)</w:t>
            </w:r>
          </w:p>
        </w:tc>
      </w:tr>
    </w:tbl>
    <w:p/>
    <w:p>
      <w:r>
        <w:t>Proportion intervals used 10,000 percentile bootstrap replicates with fields sampled with replacement. Every eligible observation from a selected field was carried into that replicate, including repeated selections of the same field. Each estimate remained observation-weighted: successes were divided by the total eligible observations in the replicate. The 2.5th and 97.5th percentiles defined the 95% interval. Random seeds and endpoint-specific field counts are included in the result tables. An interval was not estimated for a subgroup containing fewer than two fields.</w:t>
      </w:r>
    </w:p>
    <w:p>
      <w:r>
        <w:t>The primary blinded presence analysis included 39 eligible fields. Bootstrap resampling accounts for dependence within those fields but does not correct selective linkage, between-field dependence, or uncertainty about inferred matches. Deliberately reused observations remain in the author-confirmed sample. The two scouting streams were analyzed separately because their samples, observation procedures, and information available to scouts differ.</w:t>
      </w:r>
    </w:p>
    <w:p>
      <w:pPr>
        <w:pStyle w:val="Heading1"/>
      </w:pPr>
      <w:r>
        <w:t>Reviewer agreement and confidence</w:t>
      </w:r>
    </w:p>
    <w:p>
      <w:r>
        <w:t>Reviewer reliability was summarized using nominal Krippendorff’s alpha, Fleiss’ kappa, Gwet’s AC1, pairwise Cohen’s kappa, and raw agreement. Presence reliability was calculated both with all response categories and with only evaluable categories. Ordered presence agreement also used interval alpha with squared distances among support scores of 1, 0.5, and 0. Direction reliability used Positive, Negative, and Same.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20"/>
        <w:gridCol w:w="1872"/>
        <w:gridCol w:w="1728"/>
        <w:gridCol w:w="1872"/>
      </w:tblGrid>
      <w:tr>
        <w:trPr>
          <w:tblHeader/>
        </w:trPr>
        <w:tc>
          <w:tcPr>
            <w:tcW w:type="dxa" w:w="4320"/>
            <w:vAlign w:val="center"/>
            <w:shd w:fill="E8E8E8"/>
          </w:tcPr>
          <w:p>
            <w:pPr>
              <w:spacing w:before="80" w:after="80" w:line="240" w:lineRule="auto"/>
            </w:pPr>
            <w:r>
              <w:rPr>
                <w:b/>
                <w:sz w:val="20"/>
              </w:rPr>
              <w:t>Category set</w:t>
            </w:r>
          </w:p>
        </w:tc>
        <w:tc>
          <w:tcPr>
            <w:tcW w:type="dxa" w:w="1872"/>
            <w:vAlign w:val="center"/>
            <w:shd w:fill="E8E8E8"/>
          </w:tcPr>
          <w:p>
            <w:pPr>
              <w:spacing w:before="80" w:after="80" w:line="240" w:lineRule="auto"/>
              <w:jc w:val="center"/>
            </w:pPr>
            <w:r>
              <w:rPr>
                <w:b/>
                <w:sz w:val="20"/>
              </w:rPr>
              <w:t>Nominal alpha</w:t>
            </w:r>
          </w:p>
        </w:tc>
        <w:tc>
          <w:tcPr>
            <w:tcW w:type="dxa" w:w="1728"/>
            <w:vAlign w:val="center"/>
            <w:shd w:fill="E8E8E8"/>
          </w:tcPr>
          <w:p>
            <w:pPr>
              <w:spacing w:before="80" w:after="80" w:line="240" w:lineRule="auto"/>
              <w:jc w:val="center"/>
            </w:pPr>
            <w:r>
              <w:rPr>
                <w:b/>
                <w:sz w:val="20"/>
              </w:rPr>
              <w:t>Fleiss kappa</w:t>
            </w:r>
          </w:p>
        </w:tc>
        <w:tc>
          <w:tcPr>
            <w:tcW w:type="dxa" w:w="1872"/>
            <w:vAlign w:val="center"/>
            <w:shd w:fill="E8E8E8"/>
          </w:tcPr>
          <w:p>
            <w:pPr>
              <w:spacing w:before="80" w:after="80" w:line="240" w:lineRule="auto"/>
              <w:jc w:val="center"/>
            </w:pPr>
            <w:r>
              <w:rPr>
                <w:b/>
                <w:sz w:val="20"/>
              </w:rPr>
              <w:t>Gwet AC1</w:t>
            </w:r>
          </w:p>
        </w:tc>
      </w:tr>
      <w:tr>
        <w:tc>
          <w:tcPr>
            <w:tcW w:type="dxa" w:w="4320"/>
            <w:vAlign w:val="center"/>
          </w:tcPr>
          <w:p>
            <w:pPr>
              <w:spacing w:before="80" w:after="80" w:line="240" w:lineRule="auto"/>
            </w:pPr>
            <w:r>
              <w:rPr>
                <w:b w:val="0"/>
                <w:sz w:val="20"/>
              </w:rPr>
              <w:t>Presence all categories</w:t>
            </w:r>
          </w:p>
        </w:tc>
        <w:tc>
          <w:tcPr>
            <w:tcW w:type="dxa" w:w="1872"/>
            <w:vAlign w:val="center"/>
          </w:tcPr>
          <w:p>
            <w:pPr>
              <w:spacing w:before="80" w:after="80" w:line="240" w:lineRule="auto"/>
              <w:jc w:val="center"/>
            </w:pPr>
            <w:r>
              <w:rPr>
                <w:b w:val="0"/>
                <w:sz w:val="20"/>
              </w:rPr>
              <w:t>0.374</w:t>
            </w:r>
          </w:p>
        </w:tc>
        <w:tc>
          <w:tcPr>
            <w:tcW w:type="dxa" w:w="1728"/>
            <w:vAlign w:val="center"/>
          </w:tcPr>
          <w:p>
            <w:pPr>
              <w:spacing w:before="80" w:after="80" w:line="240" w:lineRule="auto"/>
              <w:jc w:val="center"/>
            </w:pPr>
            <w:r>
              <w:rPr>
                <w:b w:val="0"/>
                <w:sz w:val="20"/>
              </w:rPr>
              <w:t>0.371</w:t>
            </w:r>
          </w:p>
        </w:tc>
        <w:tc>
          <w:tcPr>
            <w:tcW w:type="dxa" w:w="1872"/>
            <w:vAlign w:val="center"/>
          </w:tcPr>
          <w:p>
            <w:pPr>
              <w:spacing w:before="80" w:after="80" w:line="240" w:lineRule="auto"/>
              <w:jc w:val="center"/>
            </w:pPr>
            <w:r>
              <w:rPr>
                <w:b w:val="0"/>
                <w:sz w:val="20"/>
              </w:rPr>
              <w:t>0.459</w:t>
            </w:r>
          </w:p>
        </w:tc>
      </w:tr>
      <w:tr>
        <w:tc>
          <w:tcPr>
            <w:tcW w:type="dxa" w:w="4320"/>
            <w:vAlign w:val="center"/>
          </w:tcPr>
          <w:p>
            <w:pPr>
              <w:spacing w:before="80" w:after="80" w:line="240" w:lineRule="auto"/>
            </w:pPr>
            <w:r>
              <w:rPr>
                <w:b w:val="0"/>
                <w:sz w:val="20"/>
              </w:rPr>
              <w:t>Presence evaluable</w:t>
            </w:r>
          </w:p>
        </w:tc>
        <w:tc>
          <w:tcPr>
            <w:tcW w:type="dxa" w:w="1872"/>
            <w:vAlign w:val="center"/>
          </w:tcPr>
          <w:p>
            <w:pPr>
              <w:spacing w:before="80" w:after="80" w:line="240" w:lineRule="auto"/>
              <w:jc w:val="center"/>
            </w:pPr>
            <w:r>
              <w:rPr>
                <w:b w:val="0"/>
                <w:sz w:val="20"/>
              </w:rPr>
              <w:t>0.490</w:t>
            </w:r>
          </w:p>
        </w:tc>
        <w:tc>
          <w:tcPr>
            <w:tcW w:type="dxa" w:w="1728"/>
            <w:vAlign w:val="center"/>
          </w:tcPr>
          <w:p>
            <w:pPr>
              <w:spacing w:before="80" w:after="80" w:line="240" w:lineRule="auto"/>
              <w:jc w:val="center"/>
            </w:pPr>
            <w:r>
              <w:rPr>
                <w:b w:val="0"/>
                <w:sz w:val="20"/>
              </w:rPr>
              <w:t>0.432</w:t>
            </w:r>
          </w:p>
        </w:tc>
        <w:tc>
          <w:tcPr>
            <w:tcW w:type="dxa" w:w="1872"/>
            <w:vAlign w:val="center"/>
          </w:tcPr>
          <w:p>
            <w:pPr>
              <w:spacing w:before="80" w:after="80" w:line="240" w:lineRule="auto"/>
              <w:jc w:val="center"/>
            </w:pPr>
            <w:r>
              <w:rPr>
                <w:b w:val="0"/>
                <w:sz w:val="20"/>
              </w:rPr>
              <w:t>0.543</w:t>
            </w:r>
          </w:p>
        </w:tc>
      </w:tr>
      <w:tr>
        <w:tc>
          <w:tcPr>
            <w:tcW w:type="dxa" w:w="4320"/>
            <w:vAlign w:val="center"/>
          </w:tcPr>
          <w:p>
            <w:pPr>
              <w:spacing w:before="80" w:after="80" w:line="240" w:lineRule="auto"/>
            </w:pPr>
            <w:r>
              <w:rPr>
                <w:b w:val="0"/>
                <w:sz w:val="20"/>
              </w:rPr>
              <w:t>Direction evaluable</w:t>
            </w:r>
          </w:p>
        </w:tc>
        <w:tc>
          <w:tcPr>
            <w:tcW w:type="dxa" w:w="1872"/>
            <w:vAlign w:val="center"/>
          </w:tcPr>
          <w:p>
            <w:pPr>
              <w:spacing w:before="80" w:after="80" w:line="240" w:lineRule="auto"/>
              <w:jc w:val="center"/>
            </w:pPr>
            <w:r>
              <w:rPr>
                <w:b w:val="0"/>
                <w:sz w:val="20"/>
              </w:rPr>
              <w:t>0.477</w:t>
            </w:r>
          </w:p>
        </w:tc>
        <w:tc>
          <w:tcPr>
            <w:tcW w:type="dxa" w:w="1728"/>
            <w:vAlign w:val="center"/>
          </w:tcPr>
          <w:p>
            <w:pPr>
              <w:spacing w:before="80" w:after="80" w:line="240" w:lineRule="auto"/>
              <w:jc w:val="center"/>
            </w:pPr>
            <w:r>
              <w:rPr>
                <w:b w:val="0"/>
                <w:sz w:val="20"/>
              </w:rPr>
              <w:t>0.311</w:t>
            </w:r>
          </w:p>
        </w:tc>
        <w:tc>
          <w:tcPr>
            <w:tcW w:type="dxa" w:w="1872"/>
            <w:vAlign w:val="center"/>
          </w:tcPr>
          <w:p>
            <w:pPr>
              <w:spacing w:before="80" w:after="80" w:line="240" w:lineRule="auto"/>
              <w:jc w:val="center"/>
            </w:pPr>
            <w:r>
              <w:rPr>
                <w:b w:val="0"/>
                <w:sz w:val="20"/>
              </w:rPr>
              <w:t>0.766</w:t>
            </w:r>
          </w:p>
        </w:tc>
      </w:tr>
    </w:tbl>
    <w:p/>
    <w:p>
      <w:r>
        <w:t>Interval alpha for evaluable presence was 0.669. Krippendorff’s alpha accommodates missing ratings through the coincidence matrix. The supplied Fleiss implementation restricts analysis to the modal number of nonmissing ratings: five for presence and four for direction, leaving 55, 33, and 13 items for the three table rows, respectively. Thus, differences between coefficients reflect both their definitions and their effective samples. Pairwise results and denominators are provided in reviewer_pairwise_agreement.csv.</w:t>
      </w:r>
    </w:p>
    <w:p>
      <w:pPr>
        <w:pStyle w:val="Heading1"/>
      </w:pPr>
      <w:r>
        <w:t>Confidence and reversed presentations</w:t>
      </w:r>
    </w:p>
    <w:p>
      <w:r>
        <w:t>Among individual binary direction classifications, 98 of 135 agreed with STADS (72.6%). Agreement increased from 6/14 (42.9%) at Low confidence to 19/32 (59.4%) at Medium confidence and 73/89 (82.0%) at High confidence. Agreement with the panel’s presence mode was 15/22 (68.2%), 42/60 (70.0%), and 128/136 (94.1%), respectively. This latter comparison includes each reviewer’s own classification in the panel mode and therefore does not provide an independent measure of accuracy. Tied modes were omitted. Full denominators and field-cluster intervals appear in reviewer_confidence.csv.</w:t>
      </w:r>
    </w:p>
    <w:p>
      <w:r>
        <w:t>The 15 reversed pairs produced 75 reviewer-by-pair comparisons. Presence repeatability required identical categories in the two presentations. For direction, Positive and Negative were exchanged in the reference-primary presentation before comparison; Same, Indeterminate, and Excluded were unchanged. These all-category agreement rates include agreement on non-evaluable responses and should not be interpreted as accuracy against field truth.</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3456"/>
        <w:gridCol w:w="3456"/>
      </w:tblGrid>
      <w:tr>
        <w:trPr>
          <w:tblHeader/>
        </w:trPr>
        <w:tc>
          <w:tcPr>
            <w:tcW w:type="dxa" w:w="2880"/>
            <w:vAlign w:val="center"/>
            <w:shd w:fill="E8E8E8"/>
          </w:tcPr>
          <w:p>
            <w:pPr>
              <w:spacing w:before="80" w:after="80" w:line="240" w:lineRule="auto"/>
            </w:pPr>
            <w:r>
              <w:rPr>
                <w:b/>
                <w:sz w:val="20"/>
              </w:rPr>
              <w:t>Reviewer</w:t>
            </w:r>
          </w:p>
        </w:tc>
        <w:tc>
          <w:tcPr>
            <w:tcW w:type="dxa" w:w="3456"/>
            <w:vAlign w:val="center"/>
            <w:shd w:fill="E8E8E8"/>
          </w:tcPr>
          <w:p>
            <w:pPr>
              <w:spacing w:before="80" w:after="80" w:line="240" w:lineRule="auto"/>
              <w:jc w:val="center"/>
            </w:pPr>
            <w:r>
              <w:rPr>
                <w:b/>
                <w:sz w:val="20"/>
              </w:rPr>
              <w:t>Presence repeatability</w:t>
            </w:r>
          </w:p>
        </w:tc>
        <w:tc>
          <w:tcPr>
            <w:tcW w:type="dxa" w:w="3456"/>
            <w:vAlign w:val="center"/>
            <w:shd w:fill="E8E8E8"/>
          </w:tcPr>
          <w:p>
            <w:pPr>
              <w:spacing w:before="80" w:after="80" w:line="240" w:lineRule="auto"/>
              <w:jc w:val="center"/>
            </w:pPr>
            <w:r>
              <w:rPr>
                <w:b/>
                <w:sz w:val="20"/>
              </w:rPr>
              <w:t>Direction after reversal</w:t>
            </w:r>
          </w:p>
        </w:tc>
      </w:tr>
      <w:tr>
        <w:tc>
          <w:tcPr>
            <w:tcW w:type="dxa" w:w="2880"/>
            <w:vAlign w:val="center"/>
          </w:tcPr>
          <w:p>
            <w:pPr>
              <w:spacing w:before="80" w:after="80" w:line="240" w:lineRule="auto"/>
            </w:pPr>
            <w:r>
              <w:rPr>
                <w:b w:val="0"/>
                <w:sz w:val="20"/>
              </w:rPr>
              <w:t>R1</w:t>
            </w:r>
          </w:p>
        </w:tc>
        <w:tc>
          <w:tcPr>
            <w:tcW w:type="dxa" w:w="3456"/>
            <w:vAlign w:val="center"/>
          </w:tcPr>
          <w:p>
            <w:pPr>
              <w:spacing w:before="80" w:after="80" w:line="240" w:lineRule="auto"/>
              <w:jc w:val="center"/>
            </w:pPr>
            <w:r>
              <w:rPr>
                <w:b w:val="0"/>
                <w:sz w:val="20"/>
              </w:rPr>
              <w:t>15/15</w:t>
            </w:r>
          </w:p>
        </w:tc>
        <w:tc>
          <w:tcPr>
            <w:tcW w:type="dxa" w:w="3456"/>
            <w:vAlign w:val="center"/>
          </w:tcPr>
          <w:p>
            <w:pPr>
              <w:spacing w:before="80" w:after="80" w:line="240" w:lineRule="auto"/>
              <w:jc w:val="center"/>
            </w:pPr>
            <w:r>
              <w:rPr>
                <w:b w:val="0"/>
                <w:sz w:val="20"/>
              </w:rPr>
              <w:t>15/15</w:t>
            </w:r>
          </w:p>
        </w:tc>
      </w:tr>
      <w:tr>
        <w:tc>
          <w:tcPr>
            <w:tcW w:type="dxa" w:w="2880"/>
            <w:vAlign w:val="center"/>
          </w:tcPr>
          <w:p>
            <w:pPr>
              <w:spacing w:before="80" w:after="80" w:line="240" w:lineRule="auto"/>
            </w:pPr>
            <w:r>
              <w:rPr>
                <w:b w:val="0"/>
                <w:sz w:val="20"/>
              </w:rPr>
              <w:t>R2</w:t>
            </w:r>
          </w:p>
        </w:tc>
        <w:tc>
          <w:tcPr>
            <w:tcW w:type="dxa" w:w="3456"/>
            <w:vAlign w:val="center"/>
          </w:tcPr>
          <w:p>
            <w:pPr>
              <w:spacing w:before="80" w:after="80" w:line="240" w:lineRule="auto"/>
              <w:jc w:val="center"/>
            </w:pPr>
            <w:r>
              <w:rPr>
                <w:b w:val="0"/>
                <w:sz w:val="20"/>
              </w:rPr>
              <w:t>14/15</w:t>
            </w:r>
          </w:p>
        </w:tc>
        <w:tc>
          <w:tcPr>
            <w:tcW w:type="dxa" w:w="3456"/>
            <w:vAlign w:val="center"/>
          </w:tcPr>
          <w:p>
            <w:pPr>
              <w:spacing w:before="80" w:after="80" w:line="240" w:lineRule="auto"/>
              <w:jc w:val="center"/>
            </w:pPr>
            <w:r>
              <w:rPr>
                <w:b w:val="0"/>
                <w:sz w:val="20"/>
              </w:rPr>
              <w:t>14/15</w:t>
            </w:r>
          </w:p>
        </w:tc>
      </w:tr>
      <w:tr>
        <w:tc>
          <w:tcPr>
            <w:tcW w:type="dxa" w:w="2880"/>
            <w:vAlign w:val="center"/>
          </w:tcPr>
          <w:p>
            <w:pPr>
              <w:spacing w:before="80" w:after="80" w:line="240" w:lineRule="auto"/>
            </w:pPr>
            <w:r>
              <w:rPr>
                <w:b w:val="0"/>
                <w:sz w:val="20"/>
              </w:rPr>
              <w:t>R3</w:t>
            </w:r>
          </w:p>
        </w:tc>
        <w:tc>
          <w:tcPr>
            <w:tcW w:type="dxa" w:w="3456"/>
            <w:vAlign w:val="center"/>
          </w:tcPr>
          <w:p>
            <w:pPr>
              <w:spacing w:before="80" w:after="80" w:line="240" w:lineRule="auto"/>
              <w:jc w:val="center"/>
            </w:pPr>
            <w:r>
              <w:rPr>
                <w:b w:val="0"/>
                <w:sz w:val="20"/>
              </w:rPr>
              <w:t>15/15</w:t>
            </w:r>
          </w:p>
        </w:tc>
        <w:tc>
          <w:tcPr>
            <w:tcW w:type="dxa" w:w="3456"/>
            <w:vAlign w:val="center"/>
          </w:tcPr>
          <w:p>
            <w:pPr>
              <w:spacing w:before="80" w:after="80" w:line="240" w:lineRule="auto"/>
              <w:jc w:val="center"/>
            </w:pPr>
            <w:r>
              <w:rPr>
                <w:b w:val="0"/>
                <w:sz w:val="20"/>
              </w:rPr>
              <w:t>5/15</w:t>
            </w:r>
          </w:p>
        </w:tc>
      </w:tr>
      <w:tr>
        <w:tc>
          <w:tcPr>
            <w:tcW w:type="dxa" w:w="2880"/>
            <w:vAlign w:val="center"/>
          </w:tcPr>
          <w:p>
            <w:pPr>
              <w:spacing w:before="80" w:after="80" w:line="240" w:lineRule="auto"/>
            </w:pPr>
            <w:r>
              <w:rPr>
                <w:b w:val="0"/>
                <w:sz w:val="20"/>
              </w:rPr>
              <w:t>R4</w:t>
            </w:r>
          </w:p>
        </w:tc>
        <w:tc>
          <w:tcPr>
            <w:tcW w:type="dxa" w:w="3456"/>
            <w:vAlign w:val="center"/>
          </w:tcPr>
          <w:p>
            <w:pPr>
              <w:spacing w:before="80" w:after="80" w:line="240" w:lineRule="auto"/>
              <w:jc w:val="center"/>
            </w:pPr>
            <w:r>
              <w:rPr>
                <w:b w:val="0"/>
                <w:sz w:val="20"/>
              </w:rPr>
              <w:t>15/15</w:t>
            </w:r>
          </w:p>
        </w:tc>
        <w:tc>
          <w:tcPr>
            <w:tcW w:type="dxa" w:w="3456"/>
            <w:vAlign w:val="center"/>
          </w:tcPr>
          <w:p>
            <w:pPr>
              <w:spacing w:before="80" w:after="80" w:line="240" w:lineRule="auto"/>
              <w:jc w:val="center"/>
            </w:pPr>
            <w:r>
              <w:rPr>
                <w:b w:val="0"/>
                <w:sz w:val="20"/>
              </w:rPr>
              <w:t>14/15</w:t>
            </w:r>
          </w:p>
        </w:tc>
      </w:tr>
      <w:tr>
        <w:tc>
          <w:tcPr>
            <w:tcW w:type="dxa" w:w="2880"/>
            <w:vAlign w:val="center"/>
          </w:tcPr>
          <w:p>
            <w:pPr>
              <w:spacing w:before="80" w:after="80" w:line="240" w:lineRule="auto"/>
            </w:pPr>
            <w:r>
              <w:rPr>
                <w:b w:val="0"/>
                <w:sz w:val="20"/>
              </w:rPr>
              <w:t>R5</w:t>
            </w:r>
          </w:p>
        </w:tc>
        <w:tc>
          <w:tcPr>
            <w:tcW w:type="dxa" w:w="3456"/>
            <w:vAlign w:val="center"/>
          </w:tcPr>
          <w:p>
            <w:pPr>
              <w:spacing w:before="80" w:after="80" w:line="240" w:lineRule="auto"/>
              <w:jc w:val="center"/>
            </w:pPr>
            <w:r>
              <w:rPr>
                <w:b w:val="0"/>
                <w:sz w:val="20"/>
              </w:rPr>
              <w:t>5/15</w:t>
            </w:r>
          </w:p>
        </w:tc>
        <w:tc>
          <w:tcPr>
            <w:tcW w:type="dxa" w:w="3456"/>
            <w:vAlign w:val="center"/>
          </w:tcPr>
          <w:p>
            <w:pPr>
              <w:spacing w:before="80" w:after="80" w:line="240" w:lineRule="auto"/>
              <w:jc w:val="center"/>
            </w:pPr>
            <w:r>
              <w:rPr>
                <w:b w:val="0"/>
                <w:sz w:val="20"/>
              </w:rPr>
              <w:t>11/15</w:t>
            </w:r>
          </w:p>
        </w:tc>
      </w:tr>
    </w:tbl>
    <w:p/>
    <w:p>
      <w:r>
        <w:t>Across all reviewers, presence classifications agreed in 64/75 comparisons (85.3%) and reoriented direction classifications agreed in 59/75 (78.7%). The historical reversal output designated R1, R2, R3, and R5 as its masking subset, giving 49/60 (81.7%) and 45/60 (75.0%), respectively. That four-reviewer subset differs from the three-reviewer subset without identified competing interests. The historical designation is preserved for traceability and is not independent evidence of whether a reviewer saw a map.</w:t>
      </w:r>
    </w:p>
    <w:p>
      <w:r>
        <w:t>The supplied reversal tests and consensus comparisons are retained in results/supplied_reversal. Their original intervals and tests are secondary descriptive checks; they are not the primary field-cluster intervals. No rationale-based unmasking flags or detection warnings were reported in the supplied outputs. Absence of such flags cannot prove successful masking. Repeated presentations also do not increase the number of independent scouting pairs.</w:t>
      </w:r>
    </w:p>
    <w:p>
      <w:pPr>
        <w:pStyle w:val="Heading1"/>
      </w:pPr>
      <w:r>
        <w:t>Current RTK secondary summaries</w:t>
      </w:r>
    </w:p>
    <w:p>
      <w:r>
        <w:t>The current reconciliation contains 85 originally planned pairs plus one replacement, 59 completed pairs, and 57 retained analysis pairs after two completed non-target pairs were excluded. Presence was evaluable for 53 pairs and supported in 44 (83.0%; 95% field-cluster interval 76.8–89.8%). Direction was evaluable for 43 pairs and agreed in 37 (86.0%; 76.1–94.4%). All 11 current endpoint-summary rows were regenerated from the public RTK records and matched the supplied counts and intervals.</w:t>
      </w:r>
    </w:p>
    <w:p>
      <w:r>
        <w:t>Four retained RTK pairs were not presence-evaluable because one comparison was Same and the other was Better or Worse. Of the 44 presence-confirmed pairs, one had conflicting direction cues and remained direction-nonevaluable. Full RTK record flow, corrections, and exclusion reasons are documented in Online Resource S8. The retained RTK data and current summary are included here only to support reproducible secondary analyses.</w:t>
      </w:r>
    </w:p>
    <w:p>
      <w:pPr>
        <w:pStyle w:val="Heading1"/>
      </w:pPr>
      <w:r>
        <w:t>Files and reproducibility</w:t>
      </w:r>
    </w:p>
    <w:p>
      <w:r>
        <w:t>The data directory contains the de-identified pair inventory, point linkage audit, inferred-link extract, adjudication log, reviewer classifications, subset definitions, and current RTK analysis records. The results directory contains machine-readable tables for each analysis described above. LINKAGE_RULES.md and DATA_DICTIONARY.md describe the reconstruction logic and column meanings. README.md gives the file guide and execution instructions.</w:t>
      </w:r>
    </w:p>
    <w:p>
      <w:r>
        <w:t>The public reproduction script normalizes the analysis around one target-primary presentation per pair. It calculates consensus rules, composite outcomes, reviewer reliability, confidence summaries, retained-versus-excluded comparisons, reversed-presentation agreement, and current RTK summary checks. Reliability functions were extracted from the supplied version 5 analysis code. The required software versions and random seeds are recorded, and the validation file reports the key sample and endpoint counts.</w:t>
      </w:r>
    </w:p>
    <w:p>
      <w:r>
        <w:t>Supplied historical outputs are separated from newly regenerated tables. The blind-only bootstrap reference preserves the original blind results and explicitly labeled Wilson comparison columns; obsolete RTK rows from that workbook are not included. The current RTK summary replaces earlier RTK analysis versions. Primary blind confirmation intervals reproduce the supplied bootstrap output, including the corrected Moderate interval of 32.0–61.1%.</w:t>
      </w:r>
    </w:p>
    <w:p>
      <w:r>
        <w:t>Coordinates, farm and field names, scout identities, reviewer rationales, confidential crosswalks, and proprietary numeric output values are omitted. Pseudonymous identifiers preserve pair identity, field clustering, and observation reuse within S3. The same public RTK identifiers are retained as in the current reconciliation files. The analysis tables can be reproduced from this package; independently re-running spatial association requires the confidential source observations and coordinates.</w:t>
      </w:r>
    </w:p>
    <w:p>
      <w:r>
        <w:t>These materials support an auditable account of how field evidence was reconstructed and summarized. Remaining limitations include inferred associations, selective linkage, small crop-specific samples, reviewer dependence, and sensitivity to reviewer composition and consensus thresholds. The blinded and RTK-guided streams provide complementary evidence about correspondence between mapped outputs and field observations.</w:t>
      </w:r>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Online Resource S3</dc:title>
  <dc:subject>Blind reconstruction and secondary statistical analyses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