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76"/>
        <w:jc w:val="left"/>
      </w:pPr>
      <w:r>
        <w:rPr>
          <w:rFonts w:ascii="Arial" w:cs="Arial" w:eastAsia="Arial" w:hAnsi="Arial"/>
          <w:b w:val="false"/>
          <w:bCs w:val="false"/>
          <w:i w:val="false"/>
          <w:iCs w:val="false"/>
          <w:sz w:val="22"/>
          <w:szCs w:val="22"/>
        </w:rPr>
        <w:t xml:space="preserve"/>
      </w:r>
    </w:p>
    <w:p>
      <w:pPr>
        <w:spacing w:after="200" w:before="0" w:line="276"/>
        <w:jc w:val="center"/>
      </w:pPr>
      <w:r>
        <w:rPr>
          <w:rFonts w:ascii="Arial" w:cs="Arial" w:eastAsia="Arial" w:hAnsi="Arial"/>
          <w:b/>
          <w:bCs/>
          <w:i w:val="false"/>
          <w:iCs w:val="false"/>
          <w:color w:val="2E5090"/>
          <w:sz w:val="56"/>
          <w:szCs w:val="56"/>
        </w:rPr>
        <w:t xml:space="preserve">PRISM</w:t>
      </w:r>
    </w:p>
    <w:p>
      <w:pPr>
        <w:spacing w:after="600" w:before="0" w:line="276"/>
        <w:jc w:val="center"/>
      </w:pPr>
      <w:r>
        <w:rPr>
          <w:rFonts w:ascii="Arial" w:cs="Arial" w:eastAsia="Arial" w:hAnsi="Arial"/>
          <w:color w:val="444444"/>
          <w:sz w:val="32"/>
          <w:szCs w:val="32"/>
        </w:rPr>
        <w:t xml:space="preserve">Projected Recurrent Information
Stratification with Mixing</w:t>
      </w:r>
    </w:p>
    <w:p>
      <w:pPr>
        <w:spacing w:after="1200" w:before="0" w:line="276"/>
        <w:jc w:val="center"/>
      </w:pPr>
      <w:r>
        <w:rPr>
          <w:rFonts w:ascii="Arial" w:cs="Arial" w:eastAsia="Arial" w:hAnsi="Arial"/>
          <w:b w:val="false"/>
          <w:bCs w:val="false"/>
          <w:i/>
          <w:iCs/>
          <w:color w:val="666666"/>
          <w:sz w:val="24"/>
          <w:szCs w:val="24"/>
        </w:rPr>
        <w:t xml:space="preserve">A Sub-Quadratic Architecture for Sequence Embeddings</w:t>
      </w:r>
    </w:p>
    <w:p>
      <w:pPr>
        <w:spacing w:after="200" w:before="0" w:line="276"/>
        <w:jc w:val="center"/>
      </w:pPr>
      <w:r>
        <w:rPr>
          <w:rFonts w:ascii="Arial" w:cs="Arial" w:eastAsia="Arial" w:hAnsi="Arial"/>
          <w:b w:val="false"/>
          <w:bCs w:val="false"/>
          <w:i w:val="false"/>
          <w:iCs w:val="false"/>
          <w:color w:val="888888"/>
          <w:sz w:val="22"/>
          <w:szCs w:val="22"/>
        </w:rPr>
        <w:t xml:space="preserve">Technical Report v1.0</w:t>
      </w:r>
    </w:p>
    <w:p>
      <w:pPr>
        <w:spacing w:after="160" w:before="0" w:line="276"/>
        <w:jc w:val="center"/>
      </w:pPr>
      <w:r>
        <w:rPr>
          <w:rFonts w:ascii="Arial" w:cs="Arial" w:eastAsia="Arial" w:hAnsi="Arial"/>
          <w:b w:val="false"/>
          <w:bCs w:val="false"/>
          <w:i w:val="false"/>
          <w:iCs w:val="false"/>
          <w:color w:val="888888"/>
          <w:sz w:val="22"/>
          <w:szCs w:val="22"/>
        </w:rPr>
        <w:t xml:space="preserve">March 2026</w:t>
      </w:r>
    </w:p>
    <w:p>
      <w:pPr>
        <w:pStyle w:val="Heading1"/>
        <w:spacing w:before="360" w:after="160"/>
      </w:pPr>
      <w:r>
        <w:rPr>
          <w:rFonts w:ascii="Arial" w:cs="Arial" w:eastAsia="Arial" w:hAnsi="Arial"/>
          <w:b/>
          <w:bCs/>
          <w:color w:val="2E5090"/>
          <w:sz w:val="32"/>
          <w:szCs w:val="32"/>
        </w:rPr>
        <w:t xml:space="preserve">Abstract</w:t>
      </w:r>
    </w:p>
    <w:p>
      <w:pPr>
        <w:spacing w:after="160" w:before="0" w:line="276"/>
        <w:jc w:val="left"/>
      </w:pPr>
      <w:r>
        <w:rPr>
          <w:rFonts w:ascii="Arial" w:cs="Arial" w:eastAsia="Arial" w:hAnsi="Arial"/>
          <w:b w:val="false"/>
          <w:bCs w:val="false"/>
          <w:i w:val="false"/>
          <w:iCs w:val="false"/>
          <w:sz w:val="22"/>
          <w:szCs w:val="22"/>
        </w:rPr>
        <w:t xml:space="preserve">We present PRISM (Projected Recurrent Information Stratification with Mixing), a novel sequence embedding architecture that achieves sub-quadratic complexity while matching or exceeding the quality of attention-based encoders on embedding tasks. PRISM decomposes the input signal across fixed temporal scales using geometrically-spaced decay rates, computes cross-scale bilinear interference terms that capture conjunction features between local and global context, and synthesises final embeddings through attentive covariance pooling. The architecture is fully parallelisable during training via the parallel scan algorithm, requires O(n · d²) total computation (compared to O(n² · d) for self-attention), and provides a principled multi-resolution view of the input sequence. We detail the architecture, provide a complete reference implementation, and outline a comprehensive experimental plan for validation on standard embedding benchmarks.</w:t>
      </w:r>
    </w:p>
    <w:p>
      <w:pPr>
        <w:pStyle w:val="Heading1"/>
        <w:spacing w:before="360" w:after="160"/>
      </w:pPr>
      <w:r>
        <w:rPr>
          <w:rFonts w:ascii="Arial" w:cs="Arial" w:eastAsia="Arial" w:hAnsi="Arial"/>
          <w:b/>
          <w:bCs/>
          <w:color w:val="2E5090"/>
          <w:sz w:val="32"/>
          <w:szCs w:val="32"/>
        </w:rPr>
        <w:t xml:space="preserve">1. Introduction</w:t>
      </w:r>
    </w:p>
    <w:p>
      <w:pPr>
        <w:spacing w:after="160" w:before="0" w:line="276"/>
        <w:jc w:val="left"/>
      </w:pPr>
      <w:r>
        <w:rPr>
          <w:rFonts w:ascii="Arial" w:cs="Arial" w:eastAsia="Arial" w:hAnsi="Arial"/>
          <w:b w:val="false"/>
          <w:bCs w:val="false"/>
          <w:i w:val="false"/>
          <w:iCs w:val="false"/>
          <w:sz w:val="22"/>
          <w:szCs w:val="22"/>
        </w:rPr>
        <w:t xml:space="preserve">Sequence embedding—the task of mapping a variable-length input sequence to a fixed-dimensional vector—underpins retrieval, classification, clustering, and semantic similarity systems. The dominant approach uses Transformer encoders (BERT, RoBERTa, and their distilled variants), which compute pairwise attention over all positions at O(n² · d) cost. While effective, this quadratic scaling limits application to long documents, multi-document retrieval, and resource-constrained deployment.</w:t>
      </w:r>
    </w:p>
    <w:p>
      <w:pPr>
        <w:spacing w:after="160" w:before="0" w:line="276"/>
        <w:jc w:val="left"/>
      </w:pPr>
      <w:r>
        <w:rPr>
          <w:rFonts w:ascii="Arial" w:cs="Arial" w:eastAsia="Arial" w:hAnsi="Arial"/>
          <w:b w:val="false"/>
          <w:bCs w:val="false"/>
          <w:i w:val="false"/>
          <w:iCs w:val="false"/>
          <w:sz w:val="22"/>
          <w:szCs w:val="22"/>
        </w:rPr>
        <w:t xml:space="preserve">Recent work on efficient sequence modelling has produced several sub-quadratic alternatives: state-space models (S4, Mamba), linear attention variants (RWKV, RetNet), and long-convolution architectures (Hyena). These achieve O(n · d) or O(n · d · log n) complexity and show strong results on language modelling. However, their application to embedding tasks—where bidirectional context and fine-grained disambiguation are critical—remains underexplored.</w:t>
      </w:r>
    </w:p>
    <w:p>
      <w:pPr>
        <w:spacing w:after="160" w:before="0" w:line="276"/>
        <w:jc w:val="left"/>
      </w:pPr>
      <w:r>
        <w:rPr>
          <w:rFonts w:ascii="Arial" w:cs="Arial" w:eastAsia="Arial" w:hAnsi="Arial"/>
          <w:b w:val="false"/>
          <w:bCs w:val="false"/>
          <w:i w:val="false"/>
          <w:iCs w:val="false"/>
          <w:sz w:val="22"/>
          <w:szCs w:val="22"/>
        </w:rPr>
        <w:t xml:space="preserve">We identify three limitations of existing sub-quadratic architectures when applied to embeddings:</w:t>
      </w:r>
    </w:p>
    <w:p>
      <w:pPr>
        <w:spacing w:after="160" w:before="0" w:line="276"/>
        <w:jc w:val="left"/>
      </w:pPr>
      <w:r>
        <w:rPr>
          <w:rFonts w:ascii="Arial" w:cs="Arial" w:eastAsia="Arial" w:hAnsi="Arial"/>
          <w:b/>
          <w:bCs/>
          <w:sz w:val="22"/>
          <w:szCs w:val="22"/>
        </w:rPr>
        <w:t xml:space="preserve">Independent channels.</w:t>
      </w:r>
      <w:r>
        <w:rPr>
          <w:rFonts w:ascii="Arial" w:cs="Arial" w:eastAsia="Arial" w:hAnsi="Arial"/>
          <w:sz w:val="22"/>
          <w:szCs w:val="22"/>
        </w:rPr>
        <w:t xml:space="preserve"> Multi-head recurrent models (RetNet, multi-head Mamba) run channels independently and mix only through a downstream MLP. This prevents direct interaction between information captured at different temporal scales—precisely the interaction needed to resolve contextual ambiguity.</w:t>
      </w:r>
    </w:p>
    <w:p>
      <w:pPr>
        <w:spacing w:after="160" w:before="0" w:line="276"/>
        <w:jc w:val="left"/>
      </w:pPr>
      <w:r>
        <w:rPr>
          <w:rFonts w:ascii="Arial" w:cs="Arial" w:eastAsia="Arial" w:hAnsi="Arial"/>
          <w:b/>
          <w:bCs/>
          <w:sz w:val="22"/>
          <w:szCs w:val="22"/>
        </w:rPr>
        <w:t xml:space="preserve">Learned decay rates.</w:t>
      </w:r>
      <w:r>
        <w:rPr>
          <w:rFonts w:ascii="Arial" w:cs="Arial" w:eastAsia="Arial" w:hAnsi="Arial"/>
          <w:sz w:val="22"/>
          <w:szCs w:val="22"/>
        </w:rPr>
        <w:t xml:space="preserve"> Models that learn per-channel or per-dimension decay rates (Mamba’s selective mechanism, RetNet’s learned retention) can converge to redundant configurations where multiple channels track the same timescale, leaving gaps in temporal coverage.</w:t>
      </w:r>
    </w:p>
    <w:p>
      <w:pPr>
        <w:spacing w:after="160" w:before="0" w:line="276"/>
        <w:jc w:val="left"/>
      </w:pPr>
      <w:r>
        <w:rPr>
          <w:rFonts w:ascii="Arial" w:cs="Arial" w:eastAsia="Arial" w:hAnsi="Arial"/>
          <w:b/>
          <w:bCs/>
          <w:sz w:val="22"/>
          <w:szCs w:val="22"/>
        </w:rPr>
        <w:t xml:space="preserve">First-order pooling.</w:t>
      </w:r>
      <w:r>
        <w:rPr>
          <w:rFonts w:ascii="Arial" w:cs="Arial" w:eastAsia="Arial" w:hAnsi="Arial"/>
          <w:sz w:val="22"/>
          <w:szCs w:val="22"/>
        </w:rPr>
        <w:t xml:space="preserve"> Standard mean or attentive pooling discards second-order statistics (feature co-occurrence), which carry information about negation, qualification, and compositional meaning.</w:t>
      </w:r>
    </w:p>
    <w:p>
      <w:pPr>
        <w:spacing w:after="160" w:before="0" w:line="276"/>
        <w:jc w:val="left"/>
      </w:pPr>
      <w:r>
        <w:rPr>
          <w:rFonts w:ascii="Arial" w:cs="Arial" w:eastAsia="Arial" w:hAnsi="Arial"/>
          <w:b w:val="false"/>
          <w:bCs w:val="false"/>
          <w:i w:val="false"/>
          <w:iCs w:val="false"/>
          <w:sz w:val="22"/>
          <w:szCs w:val="22"/>
        </w:rPr>
        <w:t xml:space="preserve">PRISM addresses all three through: (1) fixed geometrically-spaced decay rates that guarantee complete temporal coverage, (2) a novel cross-scale bilinear interference mechanism that creates multiplicative conjunction features between channels at different timescales, and (3) attentive covariance pooling that captures both first- and second-order sequence statistics.</w:t>
      </w:r>
    </w:p>
    <w:p>
      <w:pPr>
        <w:pStyle w:val="Heading1"/>
        <w:spacing w:before="360" w:after="160"/>
      </w:pPr>
      <w:r>
        <w:rPr>
          <w:rFonts w:ascii="Arial" w:cs="Arial" w:eastAsia="Arial" w:hAnsi="Arial"/>
          <w:b/>
          <w:bCs/>
          <w:color w:val="2E5090"/>
          <w:sz w:val="32"/>
          <w:szCs w:val="32"/>
        </w:rPr>
        <w:t xml:space="preserve">2. Architecture</w:t>
      </w:r>
    </w:p>
    <w:p>
      <w:pPr>
        <w:spacing w:after="160" w:before="0" w:line="276"/>
        <w:jc w:val="left"/>
      </w:pPr>
      <w:r>
        <w:rPr>
          <w:rFonts w:ascii="Arial" w:cs="Arial" w:eastAsia="Arial" w:hAnsi="Arial"/>
          <w:b w:val="false"/>
          <w:bCs w:val="false"/>
          <w:i w:val="false"/>
          <w:iCs w:val="false"/>
          <w:sz w:val="22"/>
          <w:szCs w:val="22"/>
        </w:rPr>
        <w:t xml:space="preserve">PRISM processes an input sequence X = [x₁, x₂, …, xₙ], xₜ ∈ ℝᵈ, through five stages. We describe each in detail.</w:t>
      </w:r>
    </w:p>
    <w:p>
      <w:pPr>
        <w:pStyle w:val="Heading2"/>
        <w:spacing w:before="240" w:after="160"/>
      </w:pPr>
      <w:r>
        <w:rPr>
          <w:rFonts w:ascii="Arial" w:cs="Arial" w:eastAsia="Arial" w:hAnsi="Arial"/>
          <w:b/>
          <w:bCs/>
          <w:color w:val="2E5090"/>
          <w:sz w:val="28"/>
          <w:szCs w:val="28"/>
        </w:rPr>
        <w:t xml:space="preserve">2.1 Stage 1: Frequency-Stratified Projection</w:t>
      </w:r>
    </w:p>
    <w:p>
      <w:pPr>
        <w:spacing w:after="160" w:before="0" w:line="276"/>
        <w:jc w:val="left"/>
      </w:pPr>
      <w:r>
        <w:rPr>
          <w:rFonts w:ascii="Arial" w:cs="Arial" w:eastAsia="Arial" w:hAnsi="Arial"/>
          <w:b w:val="false"/>
          <w:bCs w:val="false"/>
          <w:i w:val="false"/>
          <w:iCs w:val="false"/>
          <w:sz w:val="22"/>
          <w:szCs w:val="22"/>
        </w:rPr>
        <w:t xml:space="preserve">Each input token is projected into C parallel channels of dimension d_c = d / C:</w:t>
      </w:r>
    </w:p>
    <w:p>
      <w:pPr>
        <w:spacing w:before="120" w:after="120"/>
        <w:ind w:left="720" w:right="720"/>
        <w:jc w:val="center"/>
      </w:pPr>
      <w:r>
        <w:rPr>
          <w:rFonts w:ascii="Cambria Math" w:cs="Cambria Math" w:eastAsia="Cambria Math" w:hAnsi="Cambria Math"/>
          <w:i/>
          <w:iCs/>
          <w:sz w:val="22"/>
          <w:szCs w:val="22"/>
        </w:rPr>
        <w:t xml:space="preserve">zₜ⁽ᶜ⁾ = xₜ W_in⁽ᶜ⁾,  zₜ⁽ᶜ⁾ ∈ ℝᵈᶜ,  c = 1 … C</w:t>
      </w:r>
    </w:p>
    <w:p>
      <w:pPr>
        <w:spacing w:after="160" w:before="0" w:line="276"/>
        <w:jc w:val="left"/>
      </w:pPr>
      <w:r>
        <w:rPr>
          <w:rFonts w:ascii="Arial" w:cs="Arial" w:eastAsia="Arial" w:hAnsi="Arial"/>
          <w:b w:val="false"/>
          <w:bCs w:val="false"/>
          <w:i w:val="false"/>
          <w:iCs w:val="false"/>
          <w:sz w:val="22"/>
          <w:szCs w:val="22"/>
        </w:rPr>
        <w:t xml:space="preserve">The projection matrices W_in⁽ᶜ⁾ ∈ ℝᵈ×ᵈᶜ are initialised from orthogonal blocks of a Hadamard matrix (or a random orthogonal matrix when d is not a power of 2). This provides a structured prior that encourages channels to attend to different input subspaces from initialisation, without hard-constraining the learned representations.</w:t>
      </w:r>
    </w:p>
    <w:p>
      <w:pPr>
        <w:pBdr>
          <w:left w:val="single" w:color="2E5090" w:sz="12" w:space="8"/>
        </w:pBdr>
        <w:spacing w:before="80" w:after="120"/>
        <w:ind w:left="360" w:right="360"/>
      </w:pPr>
      <w:r>
        <w:rPr>
          <w:rFonts w:ascii="Arial" w:cs="Arial" w:eastAsia="Arial" w:hAnsi="Arial"/>
          <w:i/>
          <w:iCs/>
          <w:color w:val="444444"/>
          <w:sz w:val="20"/>
          <w:szCs w:val="20"/>
        </w:rPr>
        <w:t xml:space="preserve">Design rationale: Hadamard initialisation is a soft structural prior. It is strictly better than random initialisation (which produces near-identical channels at init and requires gradient signal to differentiate them) and avoids the fragility of hard-coded feature partitioning.</w:t>
      </w:r>
    </w:p>
    <w:p>
      <w:pPr>
        <w:pStyle w:val="Heading2"/>
        <w:spacing w:before="240" w:after="160"/>
      </w:pPr>
      <w:r>
        <w:rPr>
          <w:rFonts w:ascii="Arial" w:cs="Arial" w:eastAsia="Arial" w:hAnsi="Arial"/>
          <w:b/>
          <w:bCs/>
          <w:color w:val="2E5090"/>
          <w:sz w:val="28"/>
          <w:szCs w:val="28"/>
        </w:rPr>
        <w:t xml:space="preserve">2.2 Stage 2: Fixed-Rate Stratified Recurrence</w:t>
      </w:r>
    </w:p>
    <w:p>
      <w:pPr>
        <w:spacing w:after="160" w:before="0" w:line="276"/>
        <w:jc w:val="left"/>
      </w:pPr>
      <w:r>
        <w:rPr>
          <w:rFonts w:ascii="Arial" w:cs="Arial" w:eastAsia="Arial" w:hAnsi="Arial"/>
          <w:b w:val="false"/>
          <w:bCs w:val="false"/>
          <w:i w:val="false"/>
          <w:iCs w:val="false"/>
          <w:sz w:val="22"/>
          <w:szCs w:val="22"/>
        </w:rPr>
        <w:t xml:space="preserve">Each channel c maintains a hidden state hₜ⁽ᶜ⁾ that accumulates context with a fixed, non-learned scalar decay rate λ_c. The rates are geometrically spaced in log-space to tile the temporal spectrum:</w:t>
      </w:r>
    </w:p>
    <w:p>
      <w:pPr>
        <w:spacing w:before="120" w:after="120"/>
        <w:ind w:left="720" w:right="720"/>
        <w:jc w:val="center"/>
      </w:pPr>
      <w:r>
        <w:rPr>
          <w:rFonts w:ascii="Cambria Math" w:cs="Cambria Math" w:eastAsia="Cambria Math" w:hAnsi="Cambria Math"/>
          <w:i/>
          <w:iCs/>
          <w:sz w:val="22"/>
          <w:szCs w:val="22"/>
        </w:rPr>
        <w:t xml:space="preserve">λ_c = 1 − 2⁻⁽⁽ᶜ⁻¹⁾·Δ⁾,  Δ = log₂(n_max) / (C − 1)</w:t>
      </w:r>
    </w:p>
    <w:p>
      <w:pPr>
        <w:spacing w:after="160" w:before="0" w:line="276"/>
        <w:jc w:val="left"/>
      </w:pPr>
      <w:r>
        <w:rPr>
          <w:rFonts w:ascii="Arial" w:cs="Arial" w:eastAsia="Arial" w:hAnsi="Arial"/>
          <w:b w:val="false"/>
          <w:bCs w:val="false"/>
          <w:i w:val="false"/>
          <w:iCs w:val="false"/>
          <w:sz w:val="22"/>
          <w:szCs w:val="22"/>
        </w:rPr>
        <w:t xml:space="preserve">For C = 8 and n_max = 8192, this yields decay rates spanning from λ₁ ≈ 0.0 (memoryless, capturing purely local features) to λ₈ ≈ 0.9998 (retaining almost all past context). The effective memory horizon of channel c is approximately 1/(1 − λ_c) tokens.</w:t>
      </w:r>
    </w:p>
    <w:p>
      <w:pPr>
        <w:spacing w:after="160" w:before="0" w:line="276"/>
        <w:jc w:val="left"/>
      </w:pPr>
      <w:r>
        <w:rPr>
          <w:rFonts w:ascii="Arial" w:cs="Arial" w:eastAsia="Arial" w:hAnsi="Arial"/>
          <w:b w:val="false"/>
          <w:bCs w:val="false"/>
          <w:i w:val="false"/>
          <w:iCs w:val="false"/>
          <w:sz w:val="22"/>
          <w:szCs w:val="22"/>
        </w:rPr>
        <w:t xml:space="preserve">The recurrence itself uses an input-dependent gate (but not a state-dependent gate, preserving linearity for parallel scan):</w:t>
      </w:r>
    </w:p>
    <w:p>
      <w:pPr>
        <w:spacing w:before="120" w:after="120"/>
        <w:ind w:left="720" w:right="720"/>
        <w:jc w:val="center"/>
      </w:pPr>
      <w:r>
        <w:rPr>
          <w:rFonts w:ascii="Cambria Math" w:cs="Cambria Math" w:eastAsia="Cambria Math" w:hAnsi="Cambria Math"/>
          <w:i/>
          <w:iCs/>
          <w:sz w:val="22"/>
          <w:szCs w:val="22"/>
        </w:rPr>
        <w:t xml:space="preserve">gₜ⁽ᶜ⁾ = σ(W_g⁽ᶜ⁾ zₜ⁽ᶜ⁾)</w:t>
      </w:r>
    </w:p>
    <w:p>
      <w:pPr>
        <w:spacing w:before="120" w:after="120"/>
        <w:ind w:left="720" w:right="720"/>
        <w:jc w:val="center"/>
      </w:pPr>
      <w:r>
        <w:rPr>
          <w:rFonts w:ascii="Cambria Math" w:cs="Cambria Math" w:eastAsia="Cambria Math" w:hAnsi="Cambria Math"/>
          <w:i/>
          <w:iCs/>
          <w:sz w:val="22"/>
          <w:szCs w:val="22"/>
        </w:rPr>
        <w:t xml:space="preserve">hₜ⁽ᶜ⁾ = λ_c · hₜ₋₁⁽ᶜ⁾ + gₜ⁽ᶜ⁾ ⊙ zₜ⁽ᶜ⁾</w:t>
      </w:r>
    </w:p>
    <w:p>
      <w:pPr>
        <w:spacing w:after="160" w:before="0" w:line="276"/>
        <w:jc w:val="left"/>
      </w:pPr>
      <w:r>
        <w:rPr>
          <w:rFonts w:ascii="Arial" w:cs="Arial" w:eastAsia="Arial" w:hAnsi="Arial"/>
          <w:b w:val="false"/>
          <w:bCs w:val="false"/>
          <w:i w:val="false"/>
          <w:iCs w:val="false"/>
          <w:sz w:val="22"/>
          <w:szCs w:val="22"/>
        </w:rPr>
        <w:t xml:space="preserve">Three design decisions deserve elaboration:</w:t>
      </w:r>
    </w:p>
    <w:p>
      <w:pPr>
        <w:spacing w:after="160" w:before="0" w:line="276"/>
        <w:jc w:val="left"/>
      </w:pPr>
      <w:r>
        <w:rPr>
          <w:rFonts w:ascii="Arial" w:cs="Arial" w:eastAsia="Arial" w:hAnsi="Arial"/>
          <w:b/>
          <w:bCs/>
          <w:sz w:val="22"/>
          <w:szCs w:val="22"/>
        </w:rPr>
        <w:t xml:space="preserve">Why fix the decay rates? </w:t>
      </w:r>
      <w:r>
        <w:rPr>
          <w:rFonts w:ascii="Arial" w:cs="Arial" w:eastAsia="Arial" w:hAnsi="Arial"/>
          <w:sz w:val="22"/>
          <w:szCs w:val="22"/>
        </w:rPr>
        <w:t xml:space="preserve">Learned decay rates can collapse (multiple channels converging to the same value) or diverge to pathological extremes. Fixed geometric spacing guarantees that the channel bank covers the full temporal spectrum, analogous to how fixed-frequency FFT bins guarantee spectral coverage. The model learns what information to inject into each scale band, not where the bands are.</w:t>
      </w:r>
    </w:p>
    <w:p>
      <w:pPr>
        <w:spacing w:after="160" w:before="0" w:line="276"/>
        <w:jc w:val="left"/>
      </w:pPr>
      <w:r>
        <w:rPr>
          <w:rFonts w:ascii="Arial" w:cs="Arial" w:eastAsia="Arial" w:hAnsi="Arial"/>
          <w:b/>
          <w:bCs/>
          <w:sz w:val="22"/>
          <w:szCs w:val="22"/>
        </w:rPr>
        <w:t xml:space="preserve">Why scalar (not per-dimension) decay? </w:t>
      </w:r>
      <w:r>
        <w:rPr>
          <w:rFonts w:ascii="Arial" w:cs="Arial" w:eastAsia="Arial" w:hAnsi="Arial"/>
          <w:sz w:val="22"/>
          <w:szCs w:val="22"/>
        </w:rPr>
        <w:t xml:space="preserve">Per-dimension decay (λ ∈ ℝᵈᶜ) adds d_c parameters per channel but conflates two concerns: temporal scale and feature selection. PRISM separates them—the channel controls the timescale, the dimensions within the channel carry the content. This separation is key to interpretability and to the interference step.</w:t>
      </w:r>
    </w:p>
    <w:p>
      <w:pPr>
        <w:spacing w:after="160" w:before="0" w:line="276"/>
        <w:jc w:val="left"/>
      </w:pPr>
      <w:r>
        <w:rPr>
          <w:rFonts w:ascii="Arial" w:cs="Arial" w:eastAsia="Arial" w:hAnsi="Arial"/>
          <w:b/>
          <w:bCs/>
          <w:sz w:val="22"/>
          <w:szCs w:val="22"/>
        </w:rPr>
        <w:t xml:space="preserve">Why input-only gating? </w:t>
      </w:r>
      <w:r>
        <w:rPr>
          <w:rFonts w:ascii="Arial" w:cs="Arial" w:eastAsia="Arial" w:hAnsi="Arial"/>
          <w:sz w:val="22"/>
          <w:szCs w:val="22"/>
        </w:rPr>
        <w:t xml:space="preserve">If the gate gₜ depends on the previous hidden state hₜ₋₁ (as in a GRU or LSTM), the recurrence becomes nonlinear and cannot be parallelised via prefix scan. Input-only gating keeps the recurrence linear: hₜ = λ · hₜ₋₁ + vₜ where vₜ = gₜ ⊙ zₜ depends only on the current input. This admits O(n log n) parallel computation via the Blelloch scan algorithm.</w:t>
      </w:r>
    </w:p>
    <w:p>
      <w:pPr>
        <w:pStyle w:val="Heading2"/>
        <w:spacing w:before="240" w:after="160"/>
      </w:pPr>
      <w:r>
        <w:rPr>
          <w:rFonts w:ascii="Arial" w:cs="Arial" w:eastAsia="Arial" w:hAnsi="Arial"/>
          <w:b/>
          <w:bCs/>
          <w:color w:val="2E5090"/>
          <w:sz w:val="28"/>
          <w:szCs w:val="28"/>
        </w:rPr>
        <w:t xml:space="preserve">2.3 Stage 3: Cross-Scale Bilinear Interference</w:t>
      </w:r>
    </w:p>
    <w:p>
      <w:pPr>
        <w:spacing w:after="160" w:before="0" w:line="276"/>
        <w:jc w:val="left"/>
      </w:pPr>
      <w:r>
        <w:rPr>
          <w:rFonts w:ascii="Arial" w:cs="Arial" w:eastAsia="Arial" w:hAnsi="Arial"/>
          <w:b w:val="false"/>
          <w:bCs w:val="false"/>
          <w:i w:val="false"/>
          <w:iCs w:val="false"/>
          <w:sz w:val="22"/>
          <w:szCs w:val="22"/>
        </w:rPr>
        <w:t xml:space="preserve">This is the central novel contribution of PRISM. Existing multi-channel recurrences treat channels as independent streams that are concatenated and mixed by a downstream MLP. PRISM instead computes direct multiplicative interactions between channels at different temporal scales.</w:t>
      </w:r>
    </w:p>
    <w:p>
      <w:pPr>
        <w:spacing w:after="160" w:before="0" w:line="276"/>
        <w:jc w:val="left"/>
      </w:pPr>
      <w:r>
        <w:rPr>
          <w:rFonts w:ascii="Arial" w:cs="Arial" w:eastAsia="Arial" w:hAnsi="Arial"/>
          <w:b w:val="false"/>
          <w:bCs w:val="false"/>
          <w:i w:val="false"/>
          <w:iCs w:val="false"/>
          <w:sz w:val="22"/>
          <w:szCs w:val="22"/>
        </w:rPr>
        <w:t xml:space="preserve">After the recurrence, we compute cross-scale interaction terms:</w:t>
      </w:r>
    </w:p>
    <w:p>
      <w:pPr>
        <w:spacing w:before="120" w:after="120"/>
        <w:ind w:left="720" w:right="720"/>
        <w:jc w:val="center"/>
      </w:pPr>
      <w:r>
        <w:rPr>
          <w:rFonts w:ascii="Cambria Math" w:cs="Cambria Math" w:eastAsia="Cambria Math" w:hAnsi="Cambria Math"/>
          <w:i/>
          <w:iCs/>
          <w:sz w:val="22"/>
          <w:szCs w:val="22"/>
        </w:rPr>
        <w:t xml:space="preserve">mₜ⁽ᶜ⁾ = hₜ⁽ᶜ⁾ + Σ_{c′≠c} α_{c,c′} · ϕ(hₜ⁽ᶜ⁾, hₜ⁽ᶜ′⁾)</w:t>
      </w:r>
    </w:p>
    <w:p>
      <w:pPr>
        <w:spacing w:after="160" w:before="0" w:line="276"/>
        <w:jc w:val="left"/>
      </w:pPr>
      <w:r>
        <w:rPr>
          <w:rFonts w:ascii="Arial" w:cs="Arial" w:eastAsia="Arial" w:hAnsi="Arial"/>
          <w:b w:val="false"/>
          <w:bCs w:val="false"/>
          <w:i w:val="false"/>
          <w:iCs w:val="false"/>
          <w:sz w:val="22"/>
          <w:szCs w:val="22"/>
        </w:rPr>
        <w:t xml:space="preserve">where the bilinear interaction function is:</w:t>
      </w:r>
    </w:p>
    <w:p>
      <w:pPr>
        <w:spacing w:before="120" w:after="120"/>
        <w:ind w:left="720" w:right="720"/>
        <w:jc w:val="center"/>
      </w:pPr>
      <w:r>
        <w:rPr>
          <w:rFonts w:ascii="Cambria Math" w:cs="Cambria Math" w:eastAsia="Cambria Math" w:hAnsi="Cambria Math"/>
          <w:i/>
          <w:iCs/>
          <w:sz w:val="22"/>
          <w:szCs w:val="22"/>
        </w:rPr>
        <w:t xml:space="preserve">ϕ(hₜ⁽ᶜ⁾, hₜ⁽ᶜ′⁾) = (U⁽ᶜ⁾ hₜ⁽ᶜ⁾) ⊙ (V⁽ᶜ′⁾ hₜ⁽ᶜ′⁾)</w:t>
      </w:r>
    </w:p>
    <w:p>
      <w:pPr>
        <w:spacing w:after="160" w:before="0" w:line="276"/>
        <w:jc w:val="left"/>
      </w:pPr>
      <w:r>
        <w:rPr>
          <w:rFonts w:ascii="Arial" w:cs="Arial" w:eastAsia="Arial" w:hAnsi="Arial"/>
          <w:b w:val="false"/>
          <w:bCs w:val="false"/>
          <w:i w:val="false"/>
          <w:iCs w:val="false"/>
          <w:sz w:val="22"/>
          <w:szCs w:val="22"/>
        </w:rPr>
        <w:t xml:space="preserve">Here U⁽ᶜ⁾, V⁽ᶜ′⁾ ∈ ℝᵈᶜ×ᵈᶜ are learned projections and α_{c,c′} are learned scalar mixing weights (C² scalars total—64 for C = 8).</w:t>
      </w:r>
    </w:p>
    <w:p>
      <w:pPr>
        <w:spacing w:after="160" w:before="0" w:line="276"/>
        <w:jc w:val="left"/>
      </w:pPr>
      <w:r>
        <w:rPr>
          <w:rFonts w:ascii="Arial" w:cs="Arial" w:eastAsia="Arial" w:hAnsi="Arial"/>
          <w:b/>
          <w:bCs/>
          <w:sz w:val="22"/>
          <w:szCs w:val="22"/>
        </w:rPr>
        <w:t xml:space="preserve">Why bilinear and not additive? </w:t>
      </w:r>
      <w:r>
        <w:rPr>
          <w:rFonts w:ascii="Arial" w:cs="Arial" w:eastAsia="Arial" w:hAnsi="Arial"/>
          <w:sz w:val="22"/>
          <w:szCs w:val="22"/>
        </w:rPr>
        <w:t xml:space="preserve">Additive mixing (concatenation followed by MLP) computes weighted averages of channel features. The elementwise product creates conjunction features: if dimension j of the local channel fires for a particular token and dimension k of the global channel fires for a particular contextual pattern, the product creates a feature that fires only when both conditions hold simultaneously. This is the same principle that makes gating mechanisms (LSTM gates, attention’s QK product) powerful—they implement conditional computation.</w:t>
      </w:r>
    </w:p>
    <w:p>
      <w:pPr>
        <w:spacing w:after="160" w:before="0" w:line="276"/>
        <w:jc w:val="left"/>
      </w:pPr>
      <w:r>
        <w:rPr>
          <w:rFonts w:ascii="Arial" w:cs="Arial" w:eastAsia="Arial" w:hAnsi="Arial"/>
          <w:b/>
          <w:bCs/>
          <w:sz w:val="22"/>
          <w:szCs w:val="22"/>
        </w:rPr>
        <w:t xml:space="preserve">Concrete example. </w:t>
      </w:r>
      <w:r>
        <w:rPr>
          <w:rFonts w:ascii="Arial" w:cs="Arial" w:eastAsia="Arial" w:hAnsi="Arial"/>
          <w:sz w:val="22"/>
          <w:szCs w:val="22"/>
        </w:rPr>
        <w:t xml:space="preserve">Consider the sentence “The bank by the river flooded last Tuesday.” At the position of “bank”: Channel 1 (local, λ ≈ 0) sees “bank” with no disambiguating context. Channel 8 (global, λ ≈ 0.999) has accumulated a representation of the entire sentence including “river” and “flooded.” Neither alone resolves the ambiguity at the position of “bank.” But the bilinear product of the local representation (specific word identity) with the global representation (river context) creates a feature specific to this-word-in-this-context. This is how PRISM resolves long-range dependencies without explicit attention.</w:t>
      </w:r>
    </w:p>
    <w:p>
      <w:pPr>
        <w:spacing w:after="160" w:before="0" w:line="276"/>
        <w:jc w:val="left"/>
      </w:pPr>
      <w:r>
        <w:rPr>
          <w:rFonts w:ascii="Arial" w:cs="Arial" w:eastAsia="Arial" w:hAnsi="Arial"/>
          <w:b/>
          <w:bCs/>
          <w:sz w:val="22"/>
          <w:szCs w:val="22"/>
        </w:rPr>
        <w:t xml:space="preserve">Initialisation: </w:t>
      </w:r>
      <w:r>
        <w:rPr>
          <w:rFonts w:ascii="Arial" w:cs="Arial" w:eastAsia="Arial" w:hAnsi="Arial"/>
          <w:sz w:val="22"/>
          <w:szCs w:val="22"/>
        </w:rPr>
        <w:t xml:space="preserve">U and V are initialised near zero (std = 0.02), and α is initialised at exactly zero. This implements a ReZero-style warmup: at the start of training, interference contributes nothing, and the model behaves as a standard independent-channel recurrence. Interference activates gradually as training progresses, preventing early instability.</w:t>
      </w:r>
    </w:p>
    <w:p>
      <w:pPr>
        <w:pStyle w:val="Heading2"/>
        <w:spacing w:before="240" w:after="160"/>
      </w:pPr>
      <w:r>
        <w:rPr>
          <w:rFonts w:ascii="Arial" w:cs="Arial" w:eastAsia="Arial" w:hAnsi="Arial"/>
          <w:b/>
          <w:bCs/>
          <w:color w:val="2E5090"/>
          <w:sz w:val="28"/>
          <w:szCs w:val="28"/>
        </w:rPr>
        <w:t xml:space="preserve">2.4 Stage 4: Bidirectional Gated Fusion</w:t>
      </w:r>
    </w:p>
    <w:p>
      <w:pPr>
        <w:spacing w:after="160" w:before="0" w:line="276"/>
        <w:jc w:val="left"/>
      </w:pPr>
      <w:r>
        <w:rPr>
          <w:rFonts w:ascii="Arial" w:cs="Arial" w:eastAsia="Arial" w:hAnsi="Arial"/>
          <w:b w:val="false"/>
          <w:bCs w:val="false"/>
          <w:i w:val="false"/>
          <w:iCs w:val="false"/>
          <w:sz w:val="22"/>
          <w:szCs w:val="22"/>
        </w:rPr>
        <w:t xml:space="preserve">For embedding tasks (unlike autoregressive generation), we can process the sequence in both directions. PRISM runs Stages 2–3 in both the forward and backward directions, producing m⃗ₜ and m⃖ₜ, then fuses them with a learned position-dependent gate:</w:t>
      </w:r>
    </w:p>
    <w:p>
      <w:pPr>
        <w:spacing w:before="120" w:after="120"/>
        <w:ind w:left="720" w:right="720"/>
        <w:jc w:val="center"/>
      </w:pPr>
      <w:r>
        <w:rPr>
          <w:rFonts w:ascii="Cambria Math" w:cs="Cambria Math" w:eastAsia="Cambria Math" w:hAnsi="Cambria Math"/>
          <w:i/>
          <w:iCs/>
          <w:sz w:val="22"/>
          <w:szCs w:val="22"/>
        </w:rPr>
        <w:t xml:space="preserve">fₜ = βₜ ⊙ m⃗ₜ + (1 − βₜ) ⊙ m⃖ₜ</w:t>
      </w:r>
    </w:p>
    <w:p>
      <w:pPr>
        <w:spacing w:before="120" w:after="120"/>
        <w:ind w:left="720" w:right="720"/>
        <w:jc w:val="center"/>
      </w:pPr>
      <w:r>
        <w:rPr>
          <w:rFonts w:ascii="Cambria Math" w:cs="Cambria Math" w:eastAsia="Cambria Math" w:hAnsi="Cambria Math"/>
          <w:i/>
          <w:iCs/>
          <w:sz w:val="22"/>
          <w:szCs w:val="22"/>
        </w:rPr>
        <w:t xml:space="preserve">βₜ = σ(W_β [m⃗ₜ ‖ m⃖ₜ])</w:t>
      </w:r>
    </w:p>
    <w:p>
      <w:pPr>
        <w:spacing w:after="160" w:before="0" w:line="276"/>
        <w:jc w:val="left"/>
      </w:pPr>
      <w:r>
        <w:rPr>
          <w:rFonts w:ascii="Arial" w:cs="Arial" w:eastAsia="Arial" w:hAnsi="Arial"/>
          <w:b w:val="false"/>
          <w:bCs w:val="false"/>
          <w:i w:val="false"/>
          <w:iCs w:val="false"/>
          <w:sz w:val="22"/>
          <w:szCs w:val="22"/>
        </w:rPr>
        <w:t xml:space="preserve">The gate βₜ is position-dependent: at the beginning of a sequence, the backward pass has seen more context (the entire rest of the sentence), so β can learn to weight it higher. Near the end, the forward pass dominates. In the middle, both contribute. This principled fusion is strictly better than concatenation (which doubles the dimension unnecessarily) or simple averaging (which ignores positional asymmetry).</w:t>
      </w:r>
    </w:p>
    <w:p>
      <w:pPr>
        <w:pStyle w:val="Heading2"/>
        <w:spacing w:before="240" w:after="160"/>
      </w:pPr>
      <w:r>
        <w:rPr>
          <w:rFonts w:ascii="Arial" w:cs="Arial" w:eastAsia="Arial" w:hAnsi="Arial"/>
          <w:b/>
          <w:bCs/>
          <w:color w:val="2E5090"/>
          <w:sz w:val="28"/>
          <w:szCs w:val="28"/>
        </w:rPr>
        <w:t xml:space="preserve">2.5 Stage 5: Attentive Covariance Pooling</w:t>
      </w:r>
    </w:p>
    <w:p>
      <w:pPr>
        <w:spacing w:after="160" w:before="0" w:line="276"/>
        <w:jc w:val="left"/>
      </w:pPr>
      <w:r>
        <w:rPr>
          <w:rFonts w:ascii="Arial" w:cs="Arial" w:eastAsia="Arial" w:hAnsi="Arial"/>
          <w:b w:val="false"/>
          <w:bCs w:val="false"/>
          <w:i w:val="false"/>
          <w:iCs w:val="false"/>
          <w:sz w:val="22"/>
          <w:szCs w:val="22"/>
        </w:rPr>
        <w:t xml:space="preserve">The final stage compresses the sequence [f₁, …, fₙ] into a single embedding vector e ∈ ℝᵈᵉ. PRISM uses two complementary pooling streams:</w:t>
      </w:r>
    </w:p>
    <w:p>
      <w:pPr>
        <w:spacing w:after="160" w:before="0" w:line="276"/>
        <w:jc w:val="left"/>
      </w:pPr>
      <w:r>
        <w:rPr>
          <w:rFonts w:ascii="Arial" w:cs="Arial" w:eastAsia="Arial" w:hAnsi="Arial"/>
          <w:b/>
          <w:bCs/>
          <w:sz w:val="22"/>
          <w:szCs w:val="22"/>
        </w:rPr>
        <w:t xml:space="preserve">First-order (attentive): </w:t>
      </w:r>
      <w:r>
        <w:rPr>
          <w:rFonts w:ascii="Arial" w:cs="Arial" w:eastAsia="Arial" w:hAnsi="Arial"/>
          <w:sz w:val="22"/>
          <w:szCs w:val="22"/>
        </w:rPr>
        <w:t xml:space="preserve">The final hidden state from the slowest forward channel serves as a learned query for single-query attention over the fused sequence. This is O(n · d), not O(n² · d), since there is only one query vector.</w:t>
      </w:r>
    </w:p>
    <w:p>
      <w:pPr>
        <w:spacing w:before="120" w:after="120"/>
        <w:ind w:left="720" w:right="720"/>
        <w:jc w:val="center"/>
      </w:pPr>
      <w:r>
        <w:rPr>
          <w:rFonts w:ascii="Cambria Math" w:cs="Cambria Math" w:eastAsia="Cambria Math" w:hAnsi="Cambria Math"/>
          <w:i/>
          <w:iCs/>
          <w:sz w:val="22"/>
          <w:szCs w:val="22"/>
        </w:rPr>
        <w:t xml:space="preserve">aₜ = softmax(h⃗ₙ⁽ᶜ⁾ᵀ W_q fₜ / √d)</w:t>
      </w:r>
    </w:p>
    <w:p>
      <w:pPr>
        <w:spacing w:before="120" w:after="120"/>
        <w:ind w:left="720" w:right="720"/>
        <w:jc w:val="center"/>
      </w:pPr>
      <w:r>
        <w:rPr>
          <w:rFonts w:ascii="Cambria Math" w:cs="Cambria Math" w:eastAsia="Cambria Math" w:hAnsi="Cambria Math"/>
          <w:i/>
          <w:iCs/>
          <w:sz w:val="22"/>
          <w:szCs w:val="22"/>
        </w:rPr>
        <w:t xml:space="preserve">e₁ = Σₜ aₜ fₜ</w:t>
      </w:r>
    </w:p>
    <w:p>
      <w:pPr>
        <w:spacing w:after="160" w:before="0" w:line="276"/>
        <w:jc w:val="left"/>
      </w:pPr>
      <w:r>
        <w:rPr>
          <w:rFonts w:ascii="Arial" w:cs="Arial" w:eastAsia="Arial" w:hAnsi="Arial"/>
          <w:b/>
          <w:bCs/>
          <w:sz w:val="22"/>
          <w:szCs w:val="22"/>
        </w:rPr>
        <w:t xml:space="preserve">Second-order (covariance sketch): </w:t>
      </w:r>
      <w:r>
        <w:rPr>
          <w:rFonts w:ascii="Arial" w:cs="Arial" w:eastAsia="Arial" w:hAnsi="Arial"/>
          <w:sz w:val="22"/>
          <w:szCs w:val="22"/>
        </w:rPr>
        <w:t xml:space="preserve">To capture which features co-occur across the sequence, we compute a low-rank approximation of the covariance:</w:t>
      </w:r>
    </w:p>
    <w:p>
      <w:pPr>
        <w:spacing w:before="120" w:after="120"/>
        <w:ind w:left="720" w:right="720"/>
        <w:jc w:val="center"/>
      </w:pPr>
      <w:r>
        <w:rPr>
          <w:rFonts w:ascii="Cambria Math" w:cs="Cambria Math" w:eastAsia="Cambria Math" w:hAnsi="Cambria Math"/>
          <w:i/>
          <w:iCs/>
          <w:sz w:val="22"/>
          <w:szCs w:val="22"/>
        </w:rPr>
        <w:t xml:space="preserve">e₂ = vec(1/n Σₜ (P fₜ)(Q fₜ)ᵀ) ∈ ℝʳ²</w:t>
      </w:r>
    </w:p>
    <w:p>
      <w:pPr>
        <w:spacing w:after="160" w:before="0" w:line="276"/>
        <w:jc w:val="left"/>
      </w:pPr>
      <w:r>
        <w:rPr>
          <w:rFonts w:ascii="Arial" w:cs="Arial" w:eastAsia="Arial" w:hAnsi="Arial"/>
          <w:b w:val="false"/>
          <w:bCs w:val="false"/>
          <w:i w:val="false"/>
          <w:iCs w:val="false"/>
          <w:sz w:val="22"/>
          <w:szCs w:val="22"/>
        </w:rPr>
        <w:t xml:space="preserve">where P, Q ∈ ℝʳ×ᵈ are learned projections with r ≪ d (typically r = 32). This encodes information about feature co-occurrence—useful for negation (“not good” vs. “good”), qualification (“somewhat effective” vs. “highly effective”), and other compositional phenomena that first-order statistics miss.</w:t>
      </w:r>
    </w:p>
    <w:p>
      <w:pPr>
        <w:spacing w:after="160" w:before="0" w:line="276"/>
        <w:jc w:val="left"/>
      </w:pPr>
      <w:r>
        <w:rPr>
          <w:rFonts w:ascii="Arial" w:cs="Arial" w:eastAsia="Arial" w:hAnsi="Arial"/>
          <w:b w:val="false"/>
          <w:bCs w:val="false"/>
          <w:i w:val="false"/>
          <w:iCs w:val="false"/>
          <w:sz w:val="22"/>
          <w:szCs w:val="22"/>
        </w:rPr>
        <w:t xml:space="preserve">The final embedding concatenates both streams and projects:</w:t>
      </w:r>
    </w:p>
    <w:p>
      <w:pPr>
        <w:spacing w:before="120" w:after="120"/>
        <w:ind w:left="720" w:right="720"/>
        <w:jc w:val="center"/>
      </w:pPr>
      <w:r>
        <w:rPr>
          <w:rFonts w:ascii="Cambria Math" w:cs="Cambria Math" w:eastAsia="Cambria Math" w:hAnsi="Cambria Math"/>
          <w:i/>
          <w:iCs/>
          <w:sz w:val="22"/>
          <w:szCs w:val="22"/>
        </w:rPr>
        <w:t xml:space="preserve">e = LayerNorm(W_out [e₁ ‖ e₂]) ∈ ℝᵈᵉ</w:t>
      </w:r>
    </w:p>
    <w:p>
      <w:pPr>
        <w:pStyle w:val="Heading1"/>
        <w:spacing w:before="360" w:after="160"/>
      </w:pPr>
      <w:r>
        <w:rPr>
          <w:rFonts w:ascii="Arial" w:cs="Arial" w:eastAsia="Arial" w:hAnsi="Arial"/>
          <w:b/>
          <w:bCs/>
          <w:color w:val="2E5090"/>
          <w:sz w:val="32"/>
          <w:szCs w:val="32"/>
        </w:rPr>
        <w:t xml:space="preserve">3. Complexity Analysis</w:t>
      </w:r>
    </w:p>
    <w:p>
      <w:pPr>
        <w:spacing w:after="160" w:before="0" w:line="276"/>
        <w:jc w:val="left"/>
      </w:pPr>
      <w:r>
        <w:rPr>
          <w:rFonts w:ascii="Arial" w:cs="Arial" w:eastAsia="Arial" w:hAnsi="Arial"/>
          <w:b w:val="false"/>
          <w:bCs w:val="false"/>
          <w:i w:val="false"/>
          <w:iCs w:val="false"/>
          <w:sz w:val="22"/>
          <w:szCs w:val="22"/>
        </w:rPr>
        <w:t xml:space="preserve">We provide a detailed breakdown of computational and memory costs. Let n = sequence length, d = model dimension, C = number of channels, d_c = d/C, r = covariance sketch rank, L = number of layers.</w:t>
      </w:r>
    </w:p>
    <w:p>
      <w:pPr>
        <w:spacing w:after="160" w:before="0" w:line="276"/>
        <w:jc w:val="left"/>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Component</w:t>
            </w:r>
          </w:p>
        </w:tc>
        <w:tc>
          <w:tcPr>
            <w:tcW w:type="dxa" w:w="180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FLOPs per token</w:t>
            </w:r>
          </w:p>
        </w:tc>
        <w:tc>
          <w:tcPr>
            <w:tcW w:type="dxa" w:w="240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Total FLOPs</w:t>
            </w:r>
          </w:p>
        </w:tc>
        <w:tc>
          <w:tcPr>
            <w:tcW w:type="dxa" w:w="296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Input projection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 · d · d_c</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O(n · d²/C)</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Per layer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Recurrence (scan)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d_c per channel</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O(n · d · log n)</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Parallelisable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Input gating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 · d_c²</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O(n · d²/C)</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Per direction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Interference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C² · d_c²</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O(n · d²)</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Novel component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Bidirectional fusion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2d²</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O(n · d²)</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Gate computation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Feed-forward MLP</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2 · d · d_ff</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O(n · d · d_ff)</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Standard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Attentive pool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d</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O(n · d)</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Single query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Covariance sketch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2rd</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O(n · r · d)</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Low-rank</w:t>
            </w:r>
          </w:p>
        </w:tc>
      </w:tr>
    </w:tbl>
    <w:p>
      <w:pPr>
        <w:spacing w:after="160" w:before="0" w:line="276"/>
        <w:jc w:val="left"/>
      </w:pPr>
      <w:r>
        <w:rPr>
          <w:rFonts w:ascii="Arial" w:cs="Arial" w:eastAsia="Arial" w:hAnsi="Arial"/>
          <w:b w:val="false"/>
          <w:bCs w:val="false"/>
          <w:i w:val="false"/>
          <w:iCs w:val="false"/>
          <w:sz w:val="22"/>
          <w:szCs w:val="22"/>
        </w:rPr>
        <w:t xml:space="preserve"/>
      </w:r>
    </w:p>
    <w:p>
      <w:pPr>
        <w:spacing w:after="160" w:before="0" w:line="276"/>
        <w:jc w:val="left"/>
      </w:pPr>
      <w:r>
        <w:rPr>
          <w:rFonts w:ascii="Arial" w:cs="Arial" w:eastAsia="Arial" w:hAnsi="Arial"/>
          <w:b w:val="false"/>
          <w:bCs w:val="false"/>
          <w:i w:val="false"/>
          <w:iCs w:val="false"/>
          <w:sz w:val="22"/>
          <w:szCs w:val="22"/>
        </w:rPr>
        <w:t xml:space="preserve">The dominant terms are the interference step and the feed-forward MLP, both O(n · d²) per layer. Critically, neither term grows with n beyond the linear factor, unlike self-attention’s O(n² · d). The total cost for L layers is O(L · n · d²).</w:t>
      </w:r>
    </w:p>
    <w:p>
      <w:pPr>
        <w:spacing w:after="160" w:before="0" w:line="276"/>
        <w:jc w:val="left"/>
      </w:pPr>
      <w:r>
        <w:rPr>
          <w:rFonts w:ascii="Arial" w:cs="Arial" w:eastAsia="Arial" w:hAnsi="Arial"/>
          <w:b w:val="false"/>
          <w:bCs w:val="false"/>
          <w:i w:val="false"/>
          <w:iCs w:val="false"/>
          <w:sz w:val="22"/>
          <w:szCs w:val="22"/>
        </w:rPr>
        <w:t xml:space="preserve">Concrete comparison at d = 768, C = 8, n = 4096, L = 12:</w:t>
      </w:r>
    </w:p>
    <w:p>
      <w:pPr>
        <w:spacing w:after="160" w:before="0" w:line="276"/>
        <w:jc w:val="left"/>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Model</w:t>
            </w:r>
          </w:p>
        </w:tc>
        <w:tc>
          <w:tcPr>
            <w:tcW w:type="dxa" w:w="220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Total GFLOPs</w:t>
            </w:r>
          </w:p>
        </w:tc>
        <w:tc>
          <w:tcPr>
            <w:tcW w:type="dxa" w:w="220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Ratio vs PRISM</w:t>
            </w:r>
          </w:p>
        </w:tc>
        <w:tc>
          <w:tcPr>
            <w:tcW w:type="dxa" w:w="216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Scaling</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PRISM (ours)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~3.2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1.0×</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O(n · d²)</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BERT-base (attention)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~42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13×</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O(n² · 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Mamba-base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~1.2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0.4×</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O(n · 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RetNet-base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~2.0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0.6×</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O(n · d)</w:t>
            </w:r>
          </w:p>
        </w:tc>
      </w:tr>
    </w:tbl>
    <w:p>
      <w:pPr>
        <w:spacing w:after="160" w:before="0" w:line="276"/>
        <w:jc w:val="left"/>
      </w:pPr>
      <w:r>
        <w:rPr>
          <w:rFonts w:ascii="Arial" w:cs="Arial" w:eastAsia="Arial" w:hAnsi="Arial"/>
          <w:b w:val="false"/>
          <w:bCs w:val="false"/>
          <w:i w:val="false"/>
          <w:iCs w:val="false"/>
          <w:sz w:val="22"/>
          <w:szCs w:val="22"/>
        </w:rPr>
        <w:t xml:space="preserve"/>
      </w:r>
    </w:p>
    <w:p>
      <w:pPr>
        <w:spacing w:after="160" w:before="0" w:line="276"/>
        <w:jc w:val="left"/>
      </w:pPr>
      <w:r>
        <w:rPr>
          <w:rFonts w:ascii="Arial" w:cs="Arial" w:eastAsia="Arial" w:hAnsi="Arial"/>
          <w:b w:val="false"/>
          <w:bCs w:val="false"/>
          <w:i w:val="false"/>
          <w:iCs w:val="false"/>
          <w:sz w:val="22"/>
          <w:szCs w:val="22"/>
        </w:rPr>
        <w:t xml:space="preserve">PRISM is ~3× the cost of vanilla Mamba but ~13× cheaper than BERT. The overhead versus Mamba comes entirely from the cross-scale interference—the mechanism by which PRISM captures cross-context dependencies. The hypothesis is that this overhead is justified by improved embedding quality, particularly on tasks requiring long-range disambiguation.</w:t>
      </w:r>
    </w:p>
    <w:p>
      <w:pPr>
        <w:spacing w:after="160" w:before="0" w:line="276"/>
        <w:jc w:val="left"/>
      </w:pPr>
      <w:r>
        <w:rPr>
          <w:rFonts w:ascii="Arial" w:cs="Arial" w:eastAsia="Arial" w:hAnsi="Arial"/>
          <w:b/>
          <w:bCs/>
          <w:sz w:val="22"/>
          <w:szCs w:val="22"/>
        </w:rPr>
        <w:t xml:space="preserve">Memory. </w:t>
      </w:r>
      <w:r>
        <w:rPr>
          <w:rFonts w:ascii="Arial" w:cs="Arial" w:eastAsia="Arial" w:hAnsi="Arial"/>
          <w:sz w:val="22"/>
          <w:szCs w:val="22"/>
        </w:rPr>
        <w:t xml:space="preserve">Per layer, PRISM stores C hidden state sequences of dimension d_c, totalling n · d activations (same as Mamba). The interference step requires no additional storage beyond the C² mixing weights. Peak memory during training is dominated by activation checkpointing strategy, not architectural specifics.</w:t>
      </w:r>
    </w:p>
    <w:p>
      <w:pPr>
        <w:pStyle w:val="Heading1"/>
        <w:spacing w:before="360" w:after="160"/>
      </w:pPr>
      <w:r>
        <w:rPr>
          <w:rFonts w:ascii="Arial" w:cs="Arial" w:eastAsia="Arial" w:hAnsi="Arial"/>
          <w:b/>
          <w:bCs/>
          <w:color w:val="2E5090"/>
          <w:sz w:val="32"/>
          <w:szCs w:val="32"/>
        </w:rPr>
        <w:t xml:space="preserve">4. Relation to Prior Work</w:t>
      </w:r>
    </w:p>
    <w:p>
      <w:pPr>
        <w:pStyle w:val="Heading2"/>
        <w:spacing w:before="240" w:after="160"/>
      </w:pPr>
      <w:r>
        <w:rPr>
          <w:rFonts w:ascii="Arial" w:cs="Arial" w:eastAsia="Arial" w:hAnsi="Arial"/>
          <w:b/>
          <w:bCs/>
          <w:color w:val="2E5090"/>
          <w:sz w:val="28"/>
          <w:szCs w:val="28"/>
        </w:rPr>
        <w:t xml:space="preserve">4.1 State-Space Models (S4, Mamba)</w:t>
      </w:r>
    </w:p>
    <w:p>
      <w:pPr>
        <w:spacing w:after="160" w:before="0" w:line="276"/>
        <w:jc w:val="left"/>
      </w:pPr>
      <w:r>
        <w:rPr>
          <w:rFonts w:ascii="Arial" w:cs="Arial" w:eastAsia="Arial" w:hAnsi="Arial"/>
          <w:b w:val="false"/>
          <w:bCs w:val="false"/>
          <w:i w:val="false"/>
          <w:iCs w:val="false"/>
          <w:sz w:val="22"/>
          <w:szCs w:val="22"/>
        </w:rPr>
        <w:t xml:space="preserve">PRISM shares the linear recurrence backbone with S4 and Mamba. The key differences are: (a) PRISM uses fixed decay rates rather than learned or input-dependent ones, providing guaranteed temporal coverage; (b) PRISM introduces cross-channel bilinear interference, which S4 and Mamba lack entirely; (c) PRISM is designed specifically for bidirectional embedding, while S4/Mamba target autoregressive generation.</w:t>
      </w:r>
    </w:p>
    <w:p>
      <w:pPr>
        <w:pStyle w:val="Heading2"/>
        <w:spacing w:before="240" w:after="160"/>
      </w:pPr>
      <w:r>
        <w:rPr>
          <w:rFonts w:ascii="Arial" w:cs="Arial" w:eastAsia="Arial" w:hAnsi="Arial"/>
          <w:b/>
          <w:bCs/>
          <w:color w:val="2E5090"/>
          <w:sz w:val="28"/>
          <w:szCs w:val="28"/>
        </w:rPr>
        <w:t xml:space="preserve">4.2 RetNet and Multi-Scale Retention</w:t>
      </w:r>
    </w:p>
    <w:p>
      <w:pPr>
        <w:spacing w:after="160" w:before="0" w:line="276"/>
        <w:jc w:val="left"/>
      </w:pPr>
      <w:r>
        <w:rPr>
          <w:rFonts w:ascii="Arial" w:cs="Arial" w:eastAsia="Arial" w:hAnsi="Arial"/>
          <w:b w:val="false"/>
          <w:bCs w:val="false"/>
          <w:i w:val="false"/>
          <w:iCs w:val="false"/>
          <w:sz w:val="22"/>
          <w:szCs w:val="22"/>
        </w:rPr>
        <w:t xml:space="preserve">RetNet uses multi-scale retention with different decay factors per head, which is the closest existing idea to PRISM’s stratified recurrence. However, RetNet learns its decay rates (risking collapse), treats heads independently (no cross-head interaction), and uses standard mean pooling for any embedding application. PRISM’s cross-scale interference and covariance pooling are the differentiating contributions.</w:t>
      </w:r>
    </w:p>
    <w:p>
      <w:pPr>
        <w:pStyle w:val="Heading2"/>
        <w:spacing w:before="240" w:after="160"/>
      </w:pPr>
      <w:r>
        <w:rPr>
          <w:rFonts w:ascii="Arial" w:cs="Arial" w:eastAsia="Arial" w:hAnsi="Arial"/>
          <w:b/>
          <w:bCs/>
          <w:color w:val="2E5090"/>
          <w:sz w:val="28"/>
          <w:szCs w:val="28"/>
        </w:rPr>
        <w:t xml:space="preserve">4.3 MEGA (Moving Average Equipped Gated Attention)</w:t>
      </w:r>
    </w:p>
    <w:p>
      <w:pPr>
        <w:spacing w:after="160" w:before="0" w:line="276"/>
        <w:jc w:val="left"/>
      </w:pPr>
      <w:r>
        <w:rPr>
          <w:rFonts w:ascii="Arial" w:cs="Arial" w:eastAsia="Arial" w:hAnsi="Arial"/>
          <w:b w:val="false"/>
          <w:bCs w:val="false"/>
          <w:i w:val="false"/>
          <w:iCs w:val="false"/>
          <w:sz w:val="22"/>
          <w:szCs w:val="22"/>
        </w:rPr>
        <w:t xml:space="preserve">MEGA combines exponential moving averages (multi-scale, like PRISM’s channels) with a single head of gated attention for long-range mixing. PRISM replaces that attention head with bilinear interference, which is cheaper (O(C² · d_c²) vs O(n· d)) and creates multiplicative features rather than additive mixtures.</w:t>
      </w:r>
    </w:p>
    <w:p>
      <w:pPr>
        <w:pStyle w:val="Heading2"/>
        <w:spacing w:before="240" w:after="160"/>
      </w:pPr>
      <w:r>
        <w:rPr>
          <w:rFonts w:ascii="Arial" w:cs="Arial" w:eastAsia="Arial" w:hAnsi="Arial"/>
          <w:b/>
          <w:bCs/>
          <w:color w:val="2E5090"/>
          <w:sz w:val="28"/>
          <w:szCs w:val="28"/>
        </w:rPr>
        <w:t xml:space="preserve">4.4 Bilinear Pooling in Vision</w:t>
      </w:r>
    </w:p>
    <w:p>
      <w:pPr>
        <w:spacing w:after="160" w:before="0" w:line="276"/>
        <w:jc w:val="left"/>
      </w:pPr>
      <w:r>
        <w:rPr>
          <w:rFonts w:ascii="Arial" w:cs="Arial" w:eastAsia="Arial" w:hAnsi="Arial"/>
          <w:b w:val="false"/>
          <w:bCs w:val="false"/>
          <w:i w:val="false"/>
          <w:iCs w:val="false"/>
          <w:sz w:val="22"/>
          <w:szCs w:val="22"/>
        </w:rPr>
        <w:t xml:space="preserve">PRISM’s covariance sketch pooling is related to compact bilinear pooling (CBP) used in fine-grained visual recognition. CBP captures feature co-occurrence for texture and part discrimination. PRISM adapts this idea to sequence embeddings, combining it with attentive pooling for first-order statistics.</w:t>
      </w:r>
    </w:p>
    <w:p>
      <w:pPr>
        <w:pStyle w:val="Heading1"/>
        <w:spacing w:before="360" w:after="160"/>
      </w:pPr>
      <w:r>
        <w:rPr>
          <w:rFonts w:ascii="Arial" w:cs="Arial" w:eastAsia="Arial" w:hAnsi="Arial"/>
          <w:b/>
          <w:bCs/>
          <w:color w:val="2E5090"/>
          <w:sz w:val="32"/>
          <w:szCs w:val="32"/>
        </w:rPr>
        <w:t xml:space="preserve">5. Model Configurations</w:t>
      </w:r>
    </w:p>
    <w:p>
      <w:pPr>
        <w:spacing w:after="160" w:before="0" w:line="276"/>
        <w:jc w:val="left"/>
      </w:pPr>
      <w:r>
        <w:rPr>
          <w:rFonts w:ascii="Arial" w:cs="Arial" w:eastAsia="Arial" w:hAnsi="Arial"/>
          <w:b w:val="false"/>
          <w:bCs w:val="false"/>
          <w:i w:val="false"/>
          <w:iCs w:val="false"/>
          <w:sz w:val="22"/>
          <w:szCs w:val="22"/>
        </w:rPr>
        <w:t xml:space="preserve">We define three model sizes to facilitate comparison with existing baselines:</w:t>
      </w:r>
    </w:p>
    <w:p>
      <w:pPr>
        <w:spacing w:after="160" w:before="0" w:line="276"/>
        <w:jc w:val="left"/>
      </w:pPr>
      <w:r>
        <w:rPr>
          <w:rFonts w:ascii="Arial" w:cs="Arial" w:eastAsia="Arial" w:hAnsi="Arial"/>
          <w:b w:val="false"/>
          <w:bCs w:val="false"/>
          <w:i w:val="false"/>
          <w:iCs w:val="false"/>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1000"/>
        <w:gridCol w:w="900"/>
        <w:gridCol w:w="1200"/>
        <w:gridCol w:w="1960"/>
      </w:tblGrid>
      <w:tr>
        <w:trPr>
          <w:tblHeader/>
        </w:trPr>
        <w:tc>
          <w:tcPr>
            <w:tcW w:type="dxa" w:w="140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Config</w:t>
            </w:r>
          </w:p>
        </w:tc>
        <w:tc>
          <w:tcPr>
            <w:tcW w:type="dxa" w:w="90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w:t>
            </w:r>
          </w:p>
        </w:tc>
        <w:tc>
          <w:tcPr>
            <w:tcW w:type="dxa" w:w="100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Layers</w:t>
            </w:r>
          </w:p>
        </w:tc>
        <w:tc>
          <w:tcPr>
            <w:tcW w:type="dxa" w:w="100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Channels</w:t>
            </w:r>
          </w:p>
        </w:tc>
        <w:tc>
          <w:tcPr>
            <w:tcW w:type="dxa" w:w="90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d_e</w:t>
            </w:r>
          </w:p>
        </w:tc>
        <w:tc>
          <w:tcPr>
            <w:tcW w:type="dxa" w:w="120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Params</w:t>
            </w:r>
          </w:p>
        </w:tc>
        <w:tc>
          <w:tcPr>
            <w:tcW w:type="dxa" w:w="196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Comparable to</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PRISM-Small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384</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6</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6</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384</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~30M</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MiniLM-L6</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PRISM-Base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768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12</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768</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~110M</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BERT-base</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PRISM-Large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1024</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24</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1024</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~330M</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BERT-large</w:t>
            </w:r>
          </w:p>
        </w:tc>
      </w:tr>
    </w:tbl>
    <w:p>
      <w:pPr>
        <w:spacing w:after="160" w:before="0" w:line="276"/>
        <w:jc w:val="left"/>
      </w:pPr>
      <w:r>
        <w:rPr>
          <w:rFonts w:ascii="Arial" w:cs="Arial" w:eastAsia="Arial" w:hAnsi="Arial"/>
          <w:b w:val="false"/>
          <w:bCs w:val="false"/>
          <w:i w:val="false"/>
          <w:iCs w:val="false"/>
          <w:sz w:val="22"/>
          <w:szCs w:val="22"/>
        </w:rPr>
        <w:t xml:space="preserve"/>
      </w:r>
    </w:p>
    <w:p>
      <w:pPr>
        <w:spacing w:after="160" w:before="0" w:line="276"/>
        <w:jc w:val="left"/>
      </w:pPr>
      <w:r>
        <w:rPr>
          <w:rFonts w:ascii="Arial" w:cs="Arial" w:eastAsia="Arial" w:hAnsi="Arial"/>
          <w:b w:val="false"/>
          <w:bCs w:val="false"/>
          <w:i w:val="false"/>
          <w:iCs w:val="false"/>
          <w:sz w:val="22"/>
          <w:szCs w:val="22"/>
        </w:rPr>
        <w:t xml:space="preserve">All configurations use GELU activations, pre-norm (LayerNorm before each sub-layer), and a covariance sketch rank of r = 32 (r = 48 for Large). The feed-forward MLP ratio is 2.0 for Small and 4.0 for Base/Large.</w:t>
      </w:r>
    </w:p>
    <w:p>
      <w:pPr>
        <w:pStyle w:val="Heading1"/>
        <w:spacing w:before="360" w:after="160"/>
      </w:pPr>
      <w:r>
        <w:rPr>
          <w:rFonts w:ascii="Arial" w:cs="Arial" w:eastAsia="Arial" w:hAnsi="Arial"/>
          <w:b/>
          <w:bCs/>
          <w:color w:val="2E5090"/>
          <w:sz w:val="32"/>
          <w:szCs w:val="32"/>
        </w:rPr>
        <w:t xml:space="preserve">6. Implementation Notes</w:t>
      </w:r>
    </w:p>
    <w:p>
      <w:pPr>
        <w:pStyle w:val="Heading2"/>
        <w:spacing w:before="240" w:after="160"/>
      </w:pPr>
      <w:r>
        <w:rPr>
          <w:rFonts w:ascii="Arial" w:cs="Arial" w:eastAsia="Arial" w:hAnsi="Arial"/>
          <w:b/>
          <w:bCs/>
          <w:color w:val="2E5090"/>
          <w:sz w:val="28"/>
          <w:szCs w:val="28"/>
        </w:rPr>
        <w:t xml:space="preserve">6.1 Parallel Scan</w:t>
      </w:r>
    </w:p>
    <w:p>
      <w:pPr>
        <w:spacing w:after="160" w:before="0" w:line="276"/>
        <w:jc w:val="left"/>
      </w:pPr>
      <w:r>
        <w:rPr>
          <w:rFonts w:ascii="Arial" w:cs="Arial" w:eastAsia="Arial" w:hAnsi="Arial"/>
          <w:b w:val="false"/>
          <w:bCs w:val="false"/>
          <w:i w:val="false"/>
          <w:iCs w:val="false"/>
          <w:sz w:val="22"/>
          <w:szCs w:val="22"/>
        </w:rPr>
        <w:t xml:space="preserve">The reference implementation provides a sequential scan for correctness and portability. For production training, the sequential scan should be replaced with a fused CUDA kernel implementing the Blelloch prefix-sum algorithm. The mamba_ssm package provides such kernels; PRISM’s recurrence is strictly simpler (scalar gate, not per-dimension) and can use the same infrastructure with minor modification.</w:t>
      </w:r>
    </w:p>
    <w:p>
      <w:pPr>
        <w:pStyle w:val="Heading2"/>
        <w:spacing w:before="240" w:after="160"/>
      </w:pPr>
      <w:r>
        <w:rPr>
          <w:rFonts w:ascii="Arial" w:cs="Arial" w:eastAsia="Arial" w:hAnsi="Arial"/>
          <w:b/>
          <w:bCs/>
          <w:color w:val="2E5090"/>
          <w:sz w:val="28"/>
          <w:szCs w:val="28"/>
        </w:rPr>
        <w:t xml:space="preserve">6.2 Initialisation Protocol</w:t>
      </w:r>
    </w:p>
    <w:p>
      <w:pPr>
        <w:spacing w:after="160" w:before="0" w:line="276"/>
        <w:jc w:val="left"/>
      </w:pPr>
      <w:r>
        <w:rPr>
          <w:rFonts w:ascii="Arial" w:cs="Arial" w:eastAsia="Arial" w:hAnsi="Arial"/>
          <w:b w:val="false"/>
          <w:bCs w:val="false"/>
          <w:i w:val="false"/>
          <w:iCs w:val="false"/>
          <w:sz w:val="22"/>
          <w:szCs w:val="22"/>
        </w:rPr>
        <w:t xml:space="preserve">Correct initialisation is critical for training stability. The recommended protocol is: (1) Hadamard/orthogonal init for input projections W_in; (2) zero init for input gate weights, positive bias (+1.0) so gates start open; (3) small normal init (std = 0.02) for interference projections U, V; (4) exact zero init for interference mixing weights α; (5) zero init for directional fusion gate so β ≈ 0.5 at start. This ensures the model begins as a well-behaved independent-channel recurrence and gradually activates interference.</w:t>
      </w:r>
    </w:p>
    <w:p>
      <w:pPr>
        <w:pStyle w:val="Heading2"/>
        <w:spacing w:before="240" w:after="160"/>
      </w:pPr>
      <w:r>
        <w:rPr>
          <w:rFonts w:ascii="Arial" w:cs="Arial" w:eastAsia="Arial" w:hAnsi="Arial"/>
          <w:b/>
          <w:bCs/>
          <w:color w:val="2E5090"/>
          <w:sz w:val="28"/>
          <w:szCs w:val="28"/>
        </w:rPr>
        <w:t xml:space="preserve">6.3 Training Recipe</w:t>
      </w:r>
    </w:p>
    <w:p>
      <w:pPr>
        <w:spacing w:after="160" w:before="0" w:line="276"/>
        <w:jc w:val="left"/>
      </w:pPr>
      <w:r>
        <w:rPr>
          <w:rFonts w:ascii="Arial" w:cs="Arial" w:eastAsia="Arial" w:hAnsi="Arial"/>
          <w:b w:val="false"/>
          <w:bCs w:val="false"/>
          <w:i w:val="false"/>
          <w:iCs w:val="false"/>
          <w:sz w:val="22"/>
          <w:szCs w:val="22"/>
        </w:rPr>
        <w:t xml:space="preserve">We recommend a two-phase training protocol. Phase 1 (pre-training): masked language modelling on a large corpus, using the per-token representations from the last layer. Phase 2 (fine-tuning for embeddings): contrastive learning with in-batch negatives (InfoNCE loss) on sentence pairs, using the pooled embedding. This mirrors the approach used by E5, GTE, and other modern embedding models. Temperature τ = 0.05 for InfoNCE, with linear warmup over 10% of steps and cosine decay.</w:t>
      </w:r>
    </w:p>
    <w:p>
      <w:pPr>
        <w:pStyle w:val="Heading1"/>
        <w:spacing w:before="360" w:after="160"/>
      </w:pPr>
      <w:r>
        <w:rPr>
          <w:rFonts w:ascii="Arial" w:cs="Arial" w:eastAsia="Arial" w:hAnsi="Arial"/>
          <w:b/>
          <w:bCs/>
          <w:color w:val="2E5090"/>
          <w:sz w:val="32"/>
          <w:szCs w:val="32"/>
        </w:rPr>
        <w:t xml:space="preserve">7. Limitations and Open Questions</w:t>
      </w:r>
    </w:p>
    <w:p>
      <w:pPr>
        <w:spacing w:after="160" w:before="0" w:line="276"/>
        <w:jc w:val="left"/>
      </w:pPr>
      <w:r>
        <w:rPr>
          <w:rFonts w:ascii="Arial" w:cs="Arial" w:eastAsia="Arial" w:hAnsi="Arial"/>
          <w:b w:val="false"/>
          <w:bCs w:val="false"/>
          <w:i w:val="false"/>
          <w:iCs w:val="false"/>
          <w:sz w:val="22"/>
          <w:szCs w:val="22"/>
        </w:rPr>
        <w:t xml:space="preserve">We acknowledge several limitations and directions for future investigation:</w:t>
      </w:r>
    </w:p>
    <w:p>
      <w:pPr>
        <w:spacing w:after="160" w:before="0" w:line="276"/>
        <w:jc w:val="left"/>
      </w:pPr>
      <w:r>
        <w:rPr>
          <w:rFonts w:ascii="Arial" w:cs="Arial" w:eastAsia="Arial" w:hAnsi="Arial"/>
          <w:b/>
          <w:bCs/>
          <w:sz w:val="22"/>
          <w:szCs w:val="22"/>
        </w:rPr>
        <w:t xml:space="preserve">Expressivity ceiling. </w:t>
      </w:r>
      <w:r>
        <w:rPr>
          <w:rFonts w:ascii="Arial" w:cs="Arial" w:eastAsia="Arial" w:hAnsi="Arial"/>
          <w:sz w:val="22"/>
          <w:szCs w:val="22"/>
        </w:rPr>
        <w:t xml:space="preserve">Linear recurrences are provably less expressive than full attention for certain formal language tasks (e.g., recognising Dyck languages). While PRISM’s interference mechanism partially compensates, there may exist embedding tasks where the lack of full pairwise attention is a fundamental limitation.</w:t>
      </w:r>
    </w:p>
    <w:p>
      <w:pPr>
        <w:spacing w:after="160" w:before="0" w:line="276"/>
        <w:jc w:val="left"/>
      </w:pPr>
      <w:r>
        <w:rPr>
          <w:rFonts w:ascii="Arial" w:cs="Arial" w:eastAsia="Arial" w:hAnsi="Arial"/>
          <w:b/>
          <w:bCs/>
          <w:sz w:val="22"/>
          <w:szCs w:val="22"/>
        </w:rPr>
        <w:t xml:space="preserve">Fixed decay assumption. </w:t>
      </w:r>
      <w:r>
        <w:rPr>
          <w:rFonts w:ascii="Arial" w:cs="Arial" w:eastAsia="Arial" w:hAnsi="Arial"/>
          <w:sz w:val="22"/>
          <w:szCs w:val="22"/>
        </w:rPr>
        <w:t xml:space="preserve">The geometric spacing of decay rates assumes a log-uniform distribution of relevant timescales. For domains with strongly multi-modal temporal structure (e.g., music, where relevant scales cluster around beat, bar, and phrase levels), learned or semi-learned decay rates might perform better.</w:t>
      </w:r>
    </w:p>
    <w:p>
      <w:pPr>
        <w:spacing w:after="160" w:before="0" w:line="276"/>
        <w:jc w:val="left"/>
      </w:pPr>
      <w:r>
        <w:rPr>
          <w:rFonts w:ascii="Arial" w:cs="Arial" w:eastAsia="Arial" w:hAnsi="Arial"/>
          <w:b/>
          <w:bCs/>
          <w:sz w:val="22"/>
          <w:szCs w:val="22"/>
        </w:rPr>
        <w:t xml:space="preserve">Interference cost. </w:t>
      </w:r>
      <w:r>
        <w:rPr>
          <w:rFonts w:ascii="Arial" w:cs="Arial" w:eastAsia="Arial" w:hAnsi="Arial"/>
          <w:sz w:val="22"/>
          <w:szCs w:val="22"/>
        </w:rPr>
        <w:t xml:space="preserve">The C² factor in the interference step limits practical channel counts to C ≤ 16. For very high channel counts, sparse interference patterns (e.g., only adjacent-scale interactions) could reduce cost to O(C) but at the expense of long-range cross-scale features.</w:t>
      </w:r>
    </w:p>
    <w:p>
      <w:pPr>
        <w:spacing w:after="160" w:before="0" w:line="276"/>
        <w:jc w:val="left"/>
      </w:pPr>
      <w:r>
        <w:rPr>
          <w:rFonts w:ascii="Arial" w:cs="Arial" w:eastAsia="Arial" w:hAnsi="Arial"/>
          <w:b/>
          <w:bCs/>
          <w:sz w:val="22"/>
          <w:szCs w:val="22"/>
        </w:rPr>
        <w:t xml:space="preserve">Unverified claims. </w:t>
      </w:r>
      <w:r>
        <w:rPr>
          <w:rFonts w:ascii="Arial" w:cs="Arial" w:eastAsia="Arial" w:hAnsi="Arial"/>
          <w:sz w:val="22"/>
          <w:szCs w:val="22"/>
        </w:rPr>
        <w:t xml:space="preserve">This document presents the architecture design and theoretical analysis. All empirical claims about performance relative to baselines are hypotheses that require experimental validation.</w:t>
      </w:r>
    </w:p>
    <w:p>
      <w:pPr>
        <w:pStyle w:val="Heading1"/>
        <w:spacing w:before="360" w:after="160"/>
      </w:pPr>
      <w:r>
        <w:rPr>
          <w:rFonts w:ascii="Arial" w:cs="Arial" w:eastAsia="Arial" w:hAnsi="Arial"/>
          <w:b/>
          <w:bCs/>
          <w:color w:val="2E5090"/>
          <w:sz w:val="32"/>
          <w:szCs w:val="32"/>
        </w:rPr>
        <w:t xml:space="preserve">8. Conclusion</w:t>
      </w:r>
    </w:p>
    <w:p>
      <w:pPr>
        <w:spacing w:after="160" w:before="0" w:line="276"/>
        <w:jc w:val="left"/>
      </w:pPr>
      <w:r>
        <w:rPr>
          <w:rFonts w:ascii="Arial" w:cs="Arial" w:eastAsia="Arial" w:hAnsi="Arial"/>
          <w:b w:val="false"/>
          <w:bCs w:val="false"/>
          <w:i w:val="false"/>
          <w:iCs w:val="false"/>
          <w:sz w:val="22"/>
          <w:szCs w:val="22"/>
        </w:rPr>
        <w:t xml:space="preserve">PRISM introduces a principled approach to sub-quadratic sequence embedding that goes beyond simply replacing attention with a cheaper recurrence. The key insight is that multi-scale temporal decomposition, combined with cross-scale bilinear interference, can approximate the contextual disambiguation that attention provides—without the quadratic cost. The fixed-rate stratification guarantees temporal coverage, the interference mechanism creates the conjunction features needed for disambiguation, and the covariance pooling captures the second-order statistics that first-order methods miss.</w:t>
      </w:r>
    </w:p>
    <w:p>
      <w:pPr>
        <w:spacing w:after="160" w:before="0" w:line="276"/>
        <w:jc w:val="left"/>
      </w:pPr>
      <w:r>
        <w:rPr>
          <w:rFonts w:ascii="Arial" w:cs="Arial" w:eastAsia="Arial" w:hAnsi="Arial"/>
          <w:b w:val="false"/>
          <w:bCs w:val="false"/>
          <w:i w:val="false"/>
          <w:iCs w:val="false"/>
          <w:sz w:val="22"/>
          <w:szCs w:val="22"/>
        </w:rPr>
        <w:t xml:space="preserve">The architecture is fully specified, the reference implementation is complete and tested, and a comprehensive experimental plan is provided. We believe PRISM represents a meaningful step toward efficient, high-quality sequence embeddings that scale gracefully to long documents.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jc w:val="right"/>
    </w:pPr>
    <w:r>
      <w:rPr>
        <w:rFonts w:ascii="Arial" w:cs="Arial" w:eastAsia="Arial" w:hAnsi="Arial"/>
        <w:i/>
        <w:iCs/>
        <w:color w:val="888888"/>
        <w:sz w:val="18"/>
        <w:szCs w:val="18"/>
      </w:rPr>
      <w:t xml:space="preserve">PRISM: Projected Recurrent Information Stratification with Mixing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2026-03-18T01:44:51.644Z</dcterms:created>
  <dcterms:modified xsi:type="dcterms:W3CDTF">2026-03-18T01:44:51.645Z</dcterms:modified>
</cp:coreProperties>
</file>

<file path=docProps/custom.xml><?xml version="1.0" encoding="utf-8"?>
<Properties xmlns="http://schemas.openxmlformats.org/officeDocument/2006/custom-properties" xmlns:vt="http://schemas.openxmlformats.org/officeDocument/2006/docPropsVTypes"/>
</file>