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2F0A6" w14:textId="77777777" w:rsidR="009B7252" w:rsidRDefault="00E02265" w:rsidP="00E02265">
      <w:pPr>
        <w:pStyle w:val="Title"/>
      </w:pPr>
      <w:r>
        <w:t>Shutdown Automation</w:t>
      </w:r>
    </w:p>
    <w:p w14:paraId="63A6D05E" w14:textId="77777777" w:rsidR="00E02265" w:rsidRDefault="00E02265" w:rsidP="00E02265">
      <w:pPr>
        <w:pStyle w:val="Heading1"/>
      </w:pPr>
      <w:r>
        <w:t>1.0.0 Goal</w:t>
      </w:r>
    </w:p>
    <w:p w14:paraId="11948B9B" w14:textId="68674929" w:rsidR="00E02265" w:rsidRDefault="00E02265">
      <w:r>
        <w:t>The goal of this solution is to control spend in Azure by shutting down virtual machines outside of working hours. This solution must be able to run across all desired subscriptions.</w:t>
      </w:r>
    </w:p>
    <w:p w14:paraId="0ABC6A8A" w14:textId="77777777" w:rsidR="00E02265" w:rsidRDefault="00E02265" w:rsidP="00E02265">
      <w:pPr>
        <w:pStyle w:val="Heading1"/>
      </w:pPr>
      <w:r>
        <w:t>2.0.0 Implementation</w:t>
      </w:r>
    </w:p>
    <w:p w14:paraId="794FF091" w14:textId="77777777" w:rsidR="00E02265" w:rsidRDefault="00E02265">
      <w:r>
        <w:t>The following are characteristics of the implementation:</w:t>
      </w:r>
    </w:p>
    <w:p w14:paraId="0ACCF2F9" w14:textId="77777777" w:rsidR="00E02265" w:rsidRDefault="00E02265" w:rsidP="00E02265">
      <w:pPr>
        <w:pStyle w:val="ListParagraph"/>
        <w:numPr>
          <w:ilvl w:val="0"/>
          <w:numId w:val="1"/>
        </w:numPr>
      </w:pPr>
      <w:r>
        <w:t>Azure Automation is used to host the script for this solution.</w:t>
      </w:r>
    </w:p>
    <w:p w14:paraId="7391FD84" w14:textId="77777777" w:rsidR="00E02265" w:rsidRDefault="00E02265" w:rsidP="00E02265">
      <w:pPr>
        <w:pStyle w:val="ListParagraph"/>
        <w:numPr>
          <w:ilvl w:val="0"/>
          <w:numId w:val="1"/>
        </w:numPr>
      </w:pPr>
      <w:r>
        <w:t>Account credentials are stored in Azure Automation.</w:t>
      </w:r>
    </w:p>
    <w:p w14:paraId="42B7A099" w14:textId="77777777" w:rsidR="00E02265" w:rsidRDefault="00E02265" w:rsidP="00E02265">
      <w:pPr>
        <w:pStyle w:val="ListParagraph"/>
        <w:numPr>
          <w:ilvl w:val="1"/>
          <w:numId w:val="1"/>
        </w:numPr>
      </w:pPr>
      <w:r>
        <w:t>The password can only be retrieved as a secure credential (not in clear text).</w:t>
      </w:r>
    </w:p>
    <w:p w14:paraId="1998D9F0" w14:textId="77777777" w:rsidR="00E02265" w:rsidRDefault="00E02265" w:rsidP="00E02265">
      <w:pPr>
        <w:pStyle w:val="ListParagraph"/>
        <w:numPr>
          <w:ilvl w:val="0"/>
          <w:numId w:val="1"/>
        </w:numPr>
      </w:pPr>
      <w:r>
        <w:t>Azure Table Storage is used to hold configuration information for the solution.</w:t>
      </w:r>
    </w:p>
    <w:p w14:paraId="17ED8330" w14:textId="77777777" w:rsidR="00E02265" w:rsidRDefault="00E02265" w:rsidP="00E02265">
      <w:pPr>
        <w:pStyle w:val="ListParagraph"/>
        <w:numPr>
          <w:ilvl w:val="0"/>
          <w:numId w:val="1"/>
        </w:numPr>
      </w:pPr>
      <w:r>
        <w:t>Azure SQL Database is used to hold log information.</w:t>
      </w:r>
    </w:p>
    <w:p w14:paraId="0DCE885B" w14:textId="77777777" w:rsidR="00A21F4C" w:rsidRDefault="00A21F4C" w:rsidP="00E02265">
      <w:pPr>
        <w:pStyle w:val="ListParagraph"/>
        <w:numPr>
          <w:ilvl w:val="0"/>
          <w:numId w:val="1"/>
        </w:numPr>
      </w:pPr>
      <w:r>
        <w:t>VMs will be considered for shutdown between a start time and stop time in their local time zone.</w:t>
      </w:r>
    </w:p>
    <w:p w14:paraId="4751BC36" w14:textId="77777777" w:rsidR="00A21F4C" w:rsidRDefault="00A21F4C" w:rsidP="00E02265">
      <w:pPr>
        <w:pStyle w:val="ListParagraph"/>
        <w:numPr>
          <w:ilvl w:val="0"/>
          <w:numId w:val="1"/>
        </w:numPr>
      </w:pPr>
      <w:r>
        <w:t>VMs are given a grace period after a startup whereby the VM will not be shut down until after the grace period.</w:t>
      </w:r>
    </w:p>
    <w:p w14:paraId="569ABDD1" w14:textId="2531698D" w:rsidR="00C509A9" w:rsidRDefault="00C509A9" w:rsidP="00E02265">
      <w:pPr>
        <w:pStyle w:val="ListParagraph"/>
        <w:numPr>
          <w:ilvl w:val="0"/>
          <w:numId w:val="1"/>
        </w:numPr>
      </w:pPr>
      <w:r>
        <w:t>The solution will run hourly ensure VMs are shut down appropriately across all time zones.</w:t>
      </w:r>
    </w:p>
    <w:p w14:paraId="1A721236" w14:textId="5762DAC5" w:rsidR="00C509A9" w:rsidRDefault="00C509A9" w:rsidP="00E02265">
      <w:pPr>
        <w:pStyle w:val="ListParagraph"/>
        <w:numPr>
          <w:ilvl w:val="0"/>
          <w:numId w:val="1"/>
        </w:numPr>
      </w:pPr>
      <w:r>
        <w:t>The solution will send a summary email of activity once a day.</w:t>
      </w:r>
    </w:p>
    <w:p w14:paraId="295E78D5" w14:textId="77777777" w:rsidR="005D4503" w:rsidRDefault="005D4503" w:rsidP="005D4503">
      <w:pPr>
        <w:pStyle w:val="Heading1"/>
      </w:pPr>
      <w:r>
        <w:t>3.0.0 Azure Automation</w:t>
      </w:r>
    </w:p>
    <w:p w14:paraId="284E45FE" w14:textId="77777777" w:rsidR="005D4503" w:rsidRDefault="005D4503" w:rsidP="005D4503">
      <w:r>
        <w:t>The following Azure Automation Account is used for this solution:</w:t>
      </w:r>
      <w:r>
        <w:br/>
      </w:r>
    </w:p>
    <w:tbl>
      <w:tblPr>
        <w:tblStyle w:val="TableGrid"/>
        <w:tblW w:w="0" w:type="auto"/>
        <w:tblLook w:val="04A0" w:firstRow="1" w:lastRow="0" w:firstColumn="1" w:lastColumn="0" w:noHBand="0" w:noVBand="1"/>
      </w:tblPr>
      <w:tblGrid>
        <w:gridCol w:w="5395"/>
        <w:gridCol w:w="5395"/>
      </w:tblGrid>
      <w:tr w:rsidR="005D4503" w14:paraId="4F47AED6" w14:textId="77777777" w:rsidTr="005D4503">
        <w:tc>
          <w:tcPr>
            <w:tcW w:w="5395" w:type="dxa"/>
          </w:tcPr>
          <w:p w14:paraId="5DDFE71B" w14:textId="77777777" w:rsidR="005D4503" w:rsidRDefault="005D4503" w:rsidP="005D4503">
            <w:r>
              <w:t>Subscription</w:t>
            </w:r>
          </w:p>
        </w:tc>
        <w:tc>
          <w:tcPr>
            <w:tcW w:w="5395" w:type="dxa"/>
          </w:tcPr>
          <w:p w14:paraId="71B1DBBC" w14:textId="1C295AD1" w:rsidR="005D4503" w:rsidRDefault="005D4503" w:rsidP="00110D7C"/>
        </w:tc>
      </w:tr>
      <w:tr w:rsidR="005D4503" w14:paraId="26BBC69E" w14:textId="77777777" w:rsidTr="005D4503">
        <w:tc>
          <w:tcPr>
            <w:tcW w:w="5395" w:type="dxa"/>
          </w:tcPr>
          <w:p w14:paraId="0C0B252E" w14:textId="77777777" w:rsidR="005D4503" w:rsidRDefault="005D4503" w:rsidP="005D4503">
            <w:r>
              <w:t>Resource Group</w:t>
            </w:r>
          </w:p>
        </w:tc>
        <w:tc>
          <w:tcPr>
            <w:tcW w:w="5395" w:type="dxa"/>
          </w:tcPr>
          <w:p w14:paraId="229E1C98" w14:textId="798DCCFA" w:rsidR="005D4503" w:rsidRDefault="005D4503" w:rsidP="005D4503"/>
        </w:tc>
      </w:tr>
      <w:tr w:rsidR="005D4503" w14:paraId="6BC60374" w14:textId="77777777" w:rsidTr="005D4503">
        <w:tc>
          <w:tcPr>
            <w:tcW w:w="5395" w:type="dxa"/>
          </w:tcPr>
          <w:p w14:paraId="0CBF553F" w14:textId="77777777" w:rsidR="005D4503" w:rsidRDefault="005D4503" w:rsidP="005D4503">
            <w:r>
              <w:t>Location</w:t>
            </w:r>
          </w:p>
        </w:tc>
        <w:tc>
          <w:tcPr>
            <w:tcW w:w="5395" w:type="dxa"/>
          </w:tcPr>
          <w:p w14:paraId="23360E0E" w14:textId="4FFD96D8" w:rsidR="005D4503" w:rsidRDefault="005D4503" w:rsidP="005D4503"/>
        </w:tc>
      </w:tr>
      <w:tr w:rsidR="005D4503" w14:paraId="2E9B914D" w14:textId="77777777" w:rsidTr="005D4503">
        <w:tc>
          <w:tcPr>
            <w:tcW w:w="5395" w:type="dxa"/>
          </w:tcPr>
          <w:p w14:paraId="267F6736" w14:textId="77777777" w:rsidR="005D4503" w:rsidRDefault="009E71F3" w:rsidP="005D4503">
            <w:r>
              <w:t xml:space="preserve">Automation </w:t>
            </w:r>
            <w:r w:rsidR="005D4503">
              <w:t>Account</w:t>
            </w:r>
          </w:p>
        </w:tc>
        <w:tc>
          <w:tcPr>
            <w:tcW w:w="5395" w:type="dxa"/>
          </w:tcPr>
          <w:p w14:paraId="00A75604" w14:textId="4E90B868" w:rsidR="005D4503" w:rsidRDefault="005D4503" w:rsidP="005D4503"/>
        </w:tc>
      </w:tr>
      <w:tr w:rsidR="005D4503" w14:paraId="39967D96" w14:textId="77777777" w:rsidTr="005D4503">
        <w:trPr>
          <w:trHeight w:val="251"/>
        </w:trPr>
        <w:tc>
          <w:tcPr>
            <w:tcW w:w="5395" w:type="dxa"/>
          </w:tcPr>
          <w:p w14:paraId="2121F325" w14:textId="77777777" w:rsidR="005D4503" w:rsidRDefault="005D4503" w:rsidP="005D4503">
            <w:r>
              <w:t>Runbooks</w:t>
            </w:r>
          </w:p>
        </w:tc>
        <w:tc>
          <w:tcPr>
            <w:tcW w:w="5395" w:type="dxa"/>
          </w:tcPr>
          <w:p w14:paraId="07FABFA3" w14:textId="20FF42C1" w:rsidR="005D4503" w:rsidRDefault="005D4503" w:rsidP="005D4503"/>
        </w:tc>
      </w:tr>
    </w:tbl>
    <w:p w14:paraId="5D5CA983" w14:textId="77777777" w:rsidR="005D4503" w:rsidRDefault="005D4503" w:rsidP="005D4503"/>
    <w:p w14:paraId="2E3B662D" w14:textId="42D565F0" w:rsidR="00897584" w:rsidRDefault="00897584" w:rsidP="00897584">
      <w:pPr>
        <w:pStyle w:val="Heading2"/>
      </w:pPr>
      <w:r>
        <w:t>3.1.0 Modules</w:t>
      </w:r>
    </w:p>
    <w:p w14:paraId="1AF84E02" w14:textId="4BD43A3D" w:rsidR="00897584" w:rsidRDefault="00102B22" w:rsidP="005D4503">
      <w:r>
        <w:t xml:space="preserve">An </w:t>
      </w:r>
      <w:r w:rsidR="00897584">
        <w:t>Azure</w:t>
      </w:r>
      <w:r w:rsidR="009D1F4F">
        <w:t xml:space="preserve"> </w:t>
      </w:r>
      <w:r>
        <w:t xml:space="preserve">Automation Account has </w:t>
      </w:r>
      <w:r w:rsidR="00B33617">
        <w:t>a set of PowerShell modules associated with it. These modules provide functionality via PowerShell cmdlets. There are some modules that are required for the PowerShell environment to run at, but beyond those standard modules, this solution requires the following modules:</w:t>
      </w:r>
    </w:p>
    <w:p w14:paraId="27F3B785" w14:textId="2F41A8F5" w:rsidR="00B33617" w:rsidRDefault="00B33617" w:rsidP="00B33617">
      <w:pPr>
        <w:pStyle w:val="ListParagraph"/>
        <w:numPr>
          <w:ilvl w:val="0"/>
          <w:numId w:val="7"/>
        </w:numPr>
      </w:pPr>
      <w:r>
        <w:t>Azure (v1.6.0+)</w:t>
      </w:r>
    </w:p>
    <w:p w14:paraId="2D2E1746" w14:textId="7C259356" w:rsidR="00B33617" w:rsidRDefault="00B33617" w:rsidP="00B33617">
      <w:pPr>
        <w:pStyle w:val="ListParagraph"/>
        <w:numPr>
          <w:ilvl w:val="0"/>
          <w:numId w:val="7"/>
        </w:numPr>
      </w:pPr>
      <w:proofErr w:type="spellStart"/>
      <w:r>
        <w:t>AzureRM.Compute</w:t>
      </w:r>
      <w:proofErr w:type="spellEnd"/>
      <w:r>
        <w:t xml:space="preserve"> (v1.3.3+)</w:t>
      </w:r>
    </w:p>
    <w:p w14:paraId="0E068806" w14:textId="42741008" w:rsidR="00B33617" w:rsidRDefault="00B33617" w:rsidP="00B33617">
      <w:pPr>
        <w:pStyle w:val="ListParagraph"/>
        <w:numPr>
          <w:ilvl w:val="0"/>
          <w:numId w:val="7"/>
        </w:numPr>
      </w:pPr>
      <w:proofErr w:type="spellStart"/>
      <w:r>
        <w:t>AzureRM.Insights</w:t>
      </w:r>
      <w:proofErr w:type="spellEnd"/>
      <w:r>
        <w:t xml:space="preserve"> (v1.0.11+)</w:t>
      </w:r>
    </w:p>
    <w:p w14:paraId="42BF8B68" w14:textId="4F58DB73" w:rsidR="00B33617" w:rsidRDefault="00B33617" w:rsidP="00B33617">
      <w:pPr>
        <w:pStyle w:val="ListParagraph"/>
        <w:numPr>
          <w:ilvl w:val="0"/>
          <w:numId w:val="7"/>
        </w:numPr>
      </w:pPr>
      <w:proofErr w:type="spellStart"/>
      <w:r>
        <w:t>AzureRM.Network</w:t>
      </w:r>
      <w:proofErr w:type="spellEnd"/>
      <w:r>
        <w:t xml:space="preserve"> (v1.0.12+)</w:t>
      </w:r>
    </w:p>
    <w:p w14:paraId="7572CBBF" w14:textId="372115CF" w:rsidR="00B33617" w:rsidRDefault="00B33617" w:rsidP="00B33617">
      <w:pPr>
        <w:pStyle w:val="ListParagraph"/>
        <w:numPr>
          <w:ilvl w:val="0"/>
          <w:numId w:val="7"/>
        </w:numPr>
      </w:pPr>
      <w:proofErr w:type="spellStart"/>
      <w:r>
        <w:t>AzureRM.Profile</w:t>
      </w:r>
      <w:proofErr w:type="spellEnd"/>
      <w:r>
        <w:t xml:space="preserve"> (v1.0.11+)</w:t>
      </w:r>
    </w:p>
    <w:p w14:paraId="38FC038D" w14:textId="77777777" w:rsidR="00B33617" w:rsidRDefault="00B33617" w:rsidP="00B33617"/>
    <w:p w14:paraId="19185389" w14:textId="3D309C20" w:rsidR="00B33617" w:rsidRDefault="00B33617" w:rsidP="00B33617">
      <w:r>
        <w:t>The version numbers listed above are all related to Azure PowerShell version 1.6</w:t>
      </w:r>
      <w:r w:rsidR="00C509A9">
        <w:t>.0</w:t>
      </w:r>
      <w:r>
        <w:t>. You can upgrade all these components to version 2.0</w:t>
      </w:r>
      <w:r w:rsidR="00C509A9">
        <w:t>.x</w:t>
      </w:r>
      <w:r>
        <w:t xml:space="preserve"> or higher, but all Azure PowerShell </w:t>
      </w:r>
      <w:r w:rsidR="00C509A9">
        <w:t>must be from the same release (v2.0.x components all seem to have the same version number, hopefully that will continue.</w:t>
      </w:r>
    </w:p>
    <w:p w14:paraId="0FB47F68" w14:textId="77777777" w:rsidR="00897584" w:rsidRDefault="00897584" w:rsidP="005D4503"/>
    <w:p w14:paraId="01265533" w14:textId="369F46A4" w:rsidR="00897584" w:rsidRDefault="00897584" w:rsidP="00C509A9">
      <w:pPr>
        <w:pStyle w:val="Heading2"/>
      </w:pPr>
      <w:r>
        <w:t>3.2.0 Connections, Certificates, Variables, and Credentials</w:t>
      </w:r>
    </w:p>
    <w:p w14:paraId="37CBA7FC" w14:textId="44F1836C" w:rsidR="00897584" w:rsidRDefault="00C509A9" w:rsidP="005D4503">
      <w:r>
        <w:t>The following assets in the Azure Automation Account are necessary for the proper operation of this solution:</w:t>
      </w:r>
      <w:r>
        <w:br/>
      </w:r>
    </w:p>
    <w:p w14:paraId="095770FD" w14:textId="5B02270E" w:rsidR="00C509A9" w:rsidRDefault="00C509A9" w:rsidP="00C509A9">
      <w:pPr>
        <w:pStyle w:val="ListParagraph"/>
        <w:numPr>
          <w:ilvl w:val="0"/>
          <w:numId w:val="9"/>
        </w:numPr>
      </w:pPr>
      <w:proofErr w:type="spellStart"/>
      <w:r w:rsidRPr="00C509A9">
        <w:rPr>
          <w:b/>
        </w:rPr>
        <w:lastRenderedPageBreak/>
        <w:t>AzureRunAsConnection</w:t>
      </w:r>
      <w:proofErr w:type="spellEnd"/>
      <w:r>
        <w:t xml:space="preserve"> [Connection] – This is an </w:t>
      </w:r>
      <w:proofErr w:type="spellStart"/>
      <w:r>
        <w:t>AzureServicePrincipal</w:t>
      </w:r>
      <w:proofErr w:type="spellEnd"/>
      <w:r>
        <w:t xml:space="preserve"> type account that is associated to an Azure Active Directory Application. You will specify the </w:t>
      </w:r>
      <w:proofErr w:type="spellStart"/>
      <w:r>
        <w:t>ApplicationId</w:t>
      </w:r>
      <w:proofErr w:type="spellEnd"/>
      <w:r>
        <w:t xml:space="preserve">, </w:t>
      </w:r>
      <w:proofErr w:type="spellStart"/>
      <w:r>
        <w:t>TenantId</w:t>
      </w:r>
      <w:proofErr w:type="spellEnd"/>
      <w:r>
        <w:t xml:space="preserve">, </w:t>
      </w:r>
      <w:proofErr w:type="spellStart"/>
      <w:r>
        <w:t>CertificateThumbprint</w:t>
      </w:r>
      <w:proofErr w:type="spellEnd"/>
      <w:r>
        <w:t xml:space="preserve"> (more on this below), and </w:t>
      </w:r>
      <w:proofErr w:type="spellStart"/>
      <w:r>
        <w:t>SubscriptionId</w:t>
      </w:r>
      <w:proofErr w:type="spellEnd"/>
      <w:r>
        <w:t xml:space="preserve"> (</w:t>
      </w:r>
      <w:proofErr w:type="spellStart"/>
      <w:r>
        <w:t>CorpCoreTools</w:t>
      </w:r>
      <w:proofErr w:type="spellEnd"/>
      <w:r>
        <w:t>, but it will access any number of subscriptions). See Section 3.2.1 on how this Service Principal is used.</w:t>
      </w:r>
      <w:r>
        <w:br/>
      </w:r>
    </w:p>
    <w:p w14:paraId="3B42EF64" w14:textId="529A494C" w:rsidR="00C509A9" w:rsidRDefault="00C509A9" w:rsidP="00C509A9">
      <w:pPr>
        <w:pStyle w:val="ListParagraph"/>
        <w:numPr>
          <w:ilvl w:val="0"/>
          <w:numId w:val="9"/>
        </w:numPr>
      </w:pPr>
      <w:proofErr w:type="spellStart"/>
      <w:r w:rsidRPr="00C509A9">
        <w:rPr>
          <w:b/>
        </w:rPr>
        <w:t>AzureRunAsCertificate</w:t>
      </w:r>
      <w:proofErr w:type="spellEnd"/>
      <w:r>
        <w:t xml:space="preserve"> [Certificate] – You will need to generate a certificate using New-</w:t>
      </w:r>
      <w:proofErr w:type="spellStart"/>
      <w:r>
        <w:t>AzureAutomationCertificate</w:t>
      </w:r>
      <w:proofErr w:type="spellEnd"/>
      <w:r>
        <w:t xml:space="preserve"> or similar and then upload it. You can find full details here: </w:t>
      </w:r>
      <w:hyperlink r:id="rId5" w:history="1">
        <w:r w:rsidRPr="000929AE">
          <w:rPr>
            <w:rStyle w:val="Hyperlink"/>
          </w:rPr>
          <w:t>https://azure.microsoft.com/en-us/documentation/articles/automation-certificates/</w:t>
        </w:r>
      </w:hyperlink>
      <w:r>
        <w:t>. See Section 3.2.2 for details on the expiration of this certificate.</w:t>
      </w:r>
      <w:r>
        <w:br/>
      </w:r>
    </w:p>
    <w:p w14:paraId="37538F8D" w14:textId="449DA5C5" w:rsidR="00C509A9" w:rsidRDefault="00C509A9" w:rsidP="00C509A9">
      <w:pPr>
        <w:pStyle w:val="ListParagraph"/>
        <w:numPr>
          <w:ilvl w:val="0"/>
          <w:numId w:val="9"/>
        </w:numPr>
      </w:pPr>
      <w:proofErr w:type="spellStart"/>
      <w:r w:rsidRPr="00C509A9">
        <w:rPr>
          <w:b/>
        </w:rPr>
        <w:t>DataWarehouse</w:t>
      </w:r>
      <w:proofErr w:type="spellEnd"/>
      <w:r>
        <w:t xml:space="preserve"> [Credential] – This is a simple username and password of the SQL account that has access to write to the </w:t>
      </w:r>
      <w:proofErr w:type="spellStart"/>
      <w:r>
        <w:t>ShutdownLog</w:t>
      </w:r>
      <w:proofErr w:type="spellEnd"/>
      <w:r>
        <w:t xml:space="preserve"> table of the data warehouse. See Section 6.0.0 for information about the logging.</w:t>
      </w:r>
      <w:r>
        <w:br/>
      </w:r>
    </w:p>
    <w:p w14:paraId="5CC0486D" w14:textId="491F8595" w:rsidR="00C509A9" w:rsidRDefault="00C509A9" w:rsidP="00C509A9">
      <w:pPr>
        <w:pStyle w:val="ListParagraph"/>
        <w:numPr>
          <w:ilvl w:val="0"/>
          <w:numId w:val="9"/>
        </w:numPr>
      </w:pPr>
      <w:proofErr w:type="spellStart"/>
      <w:r w:rsidRPr="00624B38">
        <w:rPr>
          <w:b/>
        </w:rPr>
        <w:t>SendGrid</w:t>
      </w:r>
      <w:proofErr w:type="spellEnd"/>
      <w:r>
        <w:t xml:space="preserve"> [Credential] – This is a simple username and password to send mail to </w:t>
      </w:r>
      <w:proofErr w:type="spellStart"/>
      <w:r>
        <w:t>SendGrid</w:t>
      </w:r>
      <w:proofErr w:type="spellEnd"/>
      <w:r>
        <w:t xml:space="preserve"> via SMTP.</w:t>
      </w:r>
      <w:r w:rsidR="00624B38">
        <w:t xml:space="preserve"> See Section 7.0.0 for more details on </w:t>
      </w:r>
      <w:proofErr w:type="spellStart"/>
      <w:r w:rsidR="00624B38">
        <w:t>SendGrid</w:t>
      </w:r>
      <w:proofErr w:type="spellEnd"/>
      <w:r w:rsidR="00624B38">
        <w:t>.</w:t>
      </w:r>
    </w:p>
    <w:p w14:paraId="794E8392" w14:textId="77777777" w:rsidR="00C509A9" w:rsidRDefault="00C509A9" w:rsidP="00C509A9"/>
    <w:p w14:paraId="551D66A5" w14:textId="63F7B63C" w:rsidR="00C509A9" w:rsidRDefault="00C509A9" w:rsidP="00624B38">
      <w:pPr>
        <w:pStyle w:val="Heading2"/>
      </w:pPr>
      <w:r>
        <w:t>3.2.1 Service Principal</w:t>
      </w:r>
    </w:p>
    <w:p w14:paraId="595482DD" w14:textId="59521E72" w:rsidR="00624B38" w:rsidRDefault="00624B38" w:rsidP="00C509A9">
      <w:r>
        <w:t xml:space="preserve">The Service Principal account is the identity by which all API calls to Azure will be made. It must be associated with an Azure Active Directory Application, which is described in detail here: </w:t>
      </w:r>
      <w:hyperlink r:id="rId6" w:history="1">
        <w:r w:rsidRPr="000929AE">
          <w:rPr>
            <w:rStyle w:val="Hyperlink"/>
          </w:rPr>
          <w:t>https://www.microsoftpressstore.com/articles/article.aspx?p=2473127</w:t>
        </w:r>
      </w:hyperlink>
      <w:r>
        <w:t>.</w:t>
      </w:r>
    </w:p>
    <w:p w14:paraId="5D3C2D92" w14:textId="77777777" w:rsidR="00624B38" w:rsidRDefault="00624B38" w:rsidP="00C509A9"/>
    <w:p w14:paraId="3E66D720" w14:textId="2004D0BD" w:rsidR="00624B38" w:rsidRDefault="00624B38" w:rsidP="00C509A9">
      <w:r>
        <w:t xml:space="preserve">Every Azure Subscription that </w:t>
      </w:r>
      <w:r w:rsidR="00394297">
        <w:t>the solution will attempt to shutdown VMs in must list the Service Principal account as at least “Contributor” permission to the Subscription.</w:t>
      </w:r>
    </w:p>
    <w:p w14:paraId="6EE54E3E" w14:textId="77777777" w:rsidR="00C509A9" w:rsidRDefault="00C509A9" w:rsidP="00C509A9"/>
    <w:p w14:paraId="6DF7A06C" w14:textId="44B240C4" w:rsidR="00C509A9" w:rsidRDefault="00394297" w:rsidP="00394297">
      <w:pPr>
        <w:pStyle w:val="Heading2"/>
      </w:pPr>
      <w:r>
        <w:t>3.2.2 Certificate Expiration</w:t>
      </w:r>
    </w:p>
    <w:p w14:paraId="74FA62EE" w14:textId="14DA3716" w:rsidR="00394297" w:rsidRDefault="00394297" w:rsidP="00C509A9">
      <w:r>
        <w:t>When a certificate is generated for the Service Principal is must have an expiration date. It is recommended that is one-year.</w:t>
      </w:r>
    </w:p>
    <w:p w14:paraId="26152932" w14:textId="77777777" w:rsidR="00394297" w:rsidRDefault="00394297" w:rsidP="00C509A9"/>
    <w:p w14:paraId="12800B41" w14:textId="78D306F5" w:rsidR="00394297" w:rsidRDefault="00394297" w:rsidP="00C509A9">
      <w:r>
        <w:t>Each year before the certificate expires, someone must:</w:t>
      </w:r>
    </w:p>
    <w:p w14:paraId="61B85CF5" w14:textId="1DEC5BD2" w:rsidR="00394297" w:rsidRDefault="00394297" w:rsidP="00394297">
      <w:pPr>
        <w:pStyle w:val="ListParagraph"/>
        <w:numPr>
          <w:ilvl w:val="0"/>
          <w:numId w:val="11"/>
        </w:numPr>
      </w:pPr>
      <w:r>
        <w:t>Generate a new certificate</w:t>
      </w:r>
    </w:p>
    <w:p w14:paraId="46A99742" w14:textId="06AB6F3C" w:rsidR="00394297" w:rsidRDefault="00394297" w:rsidP="00394297">
      <w:pPr>
        <w:pStyle w:val="ListParagraph"/>
        <w:numPr>
          <w:ilvl w:val="0"/>
          <w:numId w:val="11"/>
        </w:numPr>
      </w:pPr>
      <w:r>
        <w:t>Upload the certificate</w:t>
      </w:r>
    </w:p>
    <w:p w14:paraId="0EFC789A" w14:textId="3FB32CBA" w:rsidR="00394297" w:rsidRPr="005D4503" w:rsidRDefault="00394297" w:rsidP="00394297">
      <w:pPr>
        <w:pStyle w:val="ListParagraph"/>
        <w:numPr>
          <w:ilvl w:val="0"/>
          <w:numId w:val="11"/>
        </w:numPr>
      </w:pPr>
      <w:r>
        <w:t>Change the Connection to use the new certificate thumbprint</w:t>
      </w:r>
    </w:p>
    <w:p w14:paraId="46DFE9CB" w14:textId="77777777" w:rsidR="00E02265" w:rsidRDefault="005D4503" w:rsidP="00E02265">
      <w:pPr>
        <w:pStyle w:val="Heading1"/>
      </w:pPr>
      <w:r>
        <w:t>4</w:t>
      </w:r>
      <w:r w:rsidR="00E02265">
        <w:t>.0.0 Scripts</w:t>
      </w:r>
    </w:p>
    <w:p w14:paraId="1718FD78" w14:textId="1B166AD3" w:rsidR="00E02265" w:rsidRDefault="00E02265" w:rsidP="00E02265">
      <w:r>
        <w:t xml:space="preserve">The following </w:t>
      </w:r>
      <w:r w:rsidR="00AF3B35">
        <w:t xml:space="preserve">PowerShell </w:t>
      </w:r>
      <w:r>
        <w:t>scripts are contained in the PGES private GitHub repository:</w:t>
      </w:r>
      <w:r w:rsidR="005D4503">
        <w:br/>
      </w:r>
    </w:p>
    <w:p w14:paraId="34C0AD93" w14:textId="77777777" w:rsidR="00E02265" w:rsidRDefault="00E02265" w:rsidP="00E02265">
      <w:pPr>
        <w:pStyle w:val="ListParagraph"/>
        <w:numPr>
          <w:ilvl w:val="0"/>
          <w:numId w:val="2"/>
        </w:numPr>
      </w:pPr>
      <w:r w:rsidRPr="00E02265">
        <w:rPr>
          <w:b/>
        </w:rPr>
        <w:t>shutdown-arm.ps1</w:t>
      </w:r>
      <w:r>
        <w:t xml:space="preserve"> – This script is the same as can be deployed in Azure Automation</w:t>
      </w:r>
      <w:r w:rsidR="005D4503">
        <w:t xml:space="preserve"> to perform shutdowns</w:t>
      </w:r>
      <w:r>
        <w:t xml:space="preserve">. It can also be run locally with the modifications discussed in Section </w:t>
      </w:r>
      <w:r w:rsidR="005D4503">
        <w:t>4</w:t>
      </w:r>
      <w:r>
        <w:t>.</w:t>
      </w:r>
      <w:r w:rsidR="005D4503">
        <w:t>2</w:t>
      </w:r>
      <w:r>
        <w:t>.0.</w:t>
      </w:r>
      <w:r w:rsidR="005D4503">
        <w:br/>
      </w:r>
    </w:p>
    <w:p w14:paraId="5ECFB718" w14:textId="43B96EF0" w:rsidR="00E02265" w:rsidRDefault="00E02265" w:rsidP="00E02265">
      <w:pPr>
        <w:pStyle w:val="ListParagraph"/>
        <w:numPr>
          <w:ilvl w:val="0"/>
          <w:numId w:val="2"/>
        </w:numPr>
      </w:pPr>
      <w:r w:rsidRPr="00E02265">
        <w:rPr>
          <w:b/>
        </w:rPr>
        <w:t>initialize-storage.ps1</w:t>
      </w:r>
      <w:r>
        <w:t xml:space="preserve"> – This script can be executed to create the appropriate tables in Azure Storage</w:t>
      </w:r>
      <w:r w:rsidR="005D4503">
        <w:t xml:space="preserve"> for configuration</w:t>
      </w:r>
      <w:r>
        <w:t>. Those tables are discussed in Section</w:t>
      </w:r>
      <w:r w:rsidR="004252BE">
        <w:t>s</w:t>
      </w:r>
      <w:r>
        <w:t xml:space="preserve"> </w:t>
      </w:r>
      <w:r w:rsidR="004252BE">
        <w:t>5</w:t>
      </w:r>
      <w:r>
        <w:t>.</w:t>
      </w:r>
      <w:r w:rsidR="004252BE">
        <w:t>1</w:t>
      </w:r>
      <w:r>
        <w:t>.0</w:t>
      </w:r>
      <w:r w:rsidR="004252BE">
        <w:t xml:space="preserve"> and 5.2.0</w:t>
      </w:r>
      <w:r>
        <w:t>.</w:t>
      </w:r>
      <w:r w:rsidR="005D4503">
        <w:br/>
      </w:r>
    </w:p>
    <w:p w14:paraId="61AFF3A0" w14:textId="3FAD4833" w:rsidR="00E02265" w:rsidRDefault="00E02265" w:rsidP="00E02265">
      <w:pPr>
        <w:pStyle w:val="ListParagraph"/>
        <w:numPr>
          <w:ilvl w:val="0"/>
          <w:numId w:val="2"/>
        </w:numPr>
      </w:pPr>
      <w:r w:rsidRPr="00E02265">
        <w:rPr>
          <w:b/>
        </w:rPr>
        <w:t>initialize-warehouse.ps1</w:t>
      </w:r>
      <w:r>
        <w:t xml:space="preserve"> – This script can be executed to create the </w:t>
      </w:r>
      <w:r w:rsidR="005D4503">
        <w:t>appropriate table in Azure</w:t>
      </w:r>
      <w:r w:rsidR="00897584">
        <w:t xml:space="preserve"> SQL Database for logging. That </w:t>
      </w:r>
      <w:r w:rsidR="005D4503">
        <w:t>table</w:t>
      </w:r>
      <w:r w:rsidR="00897584">
        <w:t xml:space="preserve"> is</w:t>
      </w:r>
      <w:r w:rsidR="005D4503">
        <w:t xml:space="preserve"> discussed in Section</w:t>
      </w:r>
      <w:r w:rsidR="00FE200E">
        <w:t xml:space="preserve"> </w:t>
      </w:r>
      <w:r w:rsidR="00897584">
        <w:t>6</w:t>
      </w:r>
      <w:r w:rsidR="005D4503">
        <w:t>.</w:t>
      </w:r>
      <w:r w:rsidR="00897584">
        <w:t>1</w:t>
      </w:r>
      <w:r w:rsidR="005D4503">
        <w:t>.0.</w:t>
      </w:r>
      <w:r w:rsidR="005D4503">
        <w:br/>
      </w:r>
    </w:p>
    <w:p w14:paraId="36222E26" w14:textId="77777777" w:rsidR="005D4503" w:rsidRDefault="005D4503" w:rsidP="00E02265">
      <w:pPr>
        <w:pStyle w:val="ListParagraph"/>
        <w:numPr>
          <w:ilvl w:val="0"/>
          <w:numId w:val="2"/>
        </w:numPr>
      </w:pPr>
      <w:r w:rsidRPr="005D4503">
        <w:rPr>
          <w:b/>
        </w:rPr>
        <w:t>email-shutdown-logs.ps1</w:t>
      </w:r>
      <w:r>
        <w:t xml:space="preserve"> – This script is the same as can be deployed in Azure Automation to email log entries for the past 24 hours. It can also be run locally with the modifications discussed in Section </w:t>
      </w:r>
      <w:r w:rsidR="00FE200E">
        <w:t>4</w:t>
      </w:r>
      <w:r>
        <w:t>.</w:t>
      </w:r>
      <w:r w:rsidR="00FE200E">
        <w:t>4</w:t>
      </w:r>
      <w:r>
        <w:t>.0.</w:t>
      </w:r>
    </w:p>
    <w:p w14:paraId="5851264B" w14:textId="77777777" w:rsidR="005D4503" w:rsidRDefault="005D4503" w:rsidP="005D4503"/>
    <w:p w14:paraId="3C36F7D1" w14:textId="77777777" w:rsidR="005D4503" w:rsidRDefault="005D4503" w:rsidP="005D4503">
      <w:pPr>
        <w:pStyle w:val="Heading2"/>
      </w:pPr>
      <w:r>
        <w:t>4.1.0 Running shutdown-arm in Azure Automation</w:t>
      </w:r>
    </w:p>
    <w:p w14:paraId="23CDEE56" w14:textId="77777777" w:rsidR="005D4503" w:rsidRDefault="005D4503" w:rsidP="005D4503">
      <w:r>
        <w:t>Section 3.0.0 identifies the appropriate Azure Automation Account. To execute the runbook once, simply select it in the portal and click “Start”.</w:t>
      </w:r>
    </w:p>
    <w:p w14:paraId="2E3D11D1" w14:textId="77777777" w:rsidR="005D4503" w:rsidRDefault="005D4503" w:rsidP="005D4503"/>
    <w:p w14:paraId="77E137B8" w14:textId="7BB098D6" w:rsidR="005D4503" w:rsidRDefault="005D4503" w:rsidP="005D4503">
      <w:r>
        <w:t>This runbook should be configured to run every hour.</w:t>
      </w:r>
    </w:p>
    <w:p w14:paraId="162381E9" w14:textId="77777777" w:rsidR="00FE200E" w:rsidRDefault="00FE200E" w:rsidP="005D4503"/>
    <w:p w14:paraId="6B3B890E" w14:textId="77777777" w:rsidR="00FE200E" w:rsidRDefault="00FE200E" w:rsidP="005D4503">
      <w:r>
        <w:t>There are 2 sections of the script that are related to authentication that must be properly configured:</w:t>
      </w:r>
      <w:r>
        <w:br/>
      </w:r>
    </w:p>
    <w:p w14:paraId="6605CDE0" w14:textId="77777777" w:rsidR="00FE200E" w:rsidRDefault="00FE200E" w:rsidP="00FE200E">
      <w:pPr>
        <w:pStyle w:val="ListParagraph"/>
        <w:numPr>
          <w:ilvl w:val="0"/>
          <w:numId w:val="3"/>
        </w:numPr>
      </w:pPr>
      <w:r>
        <w:t>In Log-Operation, the “# credentials for production” section must be uncommented and “# credentials for local testing” must be commented out.</w:t>
      </w:r>
      <w:r>
        <w:br/>
      </w:r>
    </w:p>
    <w:p w14:paraId="07B80AE1" w14:textId="77777777" w:rsidR="00FE200E" w:rsidRDefault="00FE200E" w:rsidP="00FE200E">
      <w:pPr>
        <w:pStyle w:val="ListParagraph"/>
        <w:numPr>
          <w:ilvl w:val="0"/>
          <w:numId w:val="3"/>
        </w:numPr>
      </w:pPr>
      <w:r>
        <w:t>In the “# login” section of the main body, the “$conn” and “$</w:t>
      </w:r>
      <w:proofErr w:type="spellStart"/>
      <w:r>
        <w:t>acnt</w:t>
      </w:r>
      <w:proofErr w:type="spellEnd"/>
      <w:r>
        <w:t>” lines must be uncommented.</w:t>
      </w:r>
    </w:p>
    <w:p w14:paraId="3A8620EC" w14:textId="77777777" w:rsidR="005D4503" w:rsidRDefault="005D4503" w:rsidP="005D4503"/>
    <w:p w14:paraId="46A9C6A4" w14:textId="77777777" w:rsidR="005D4503" w:rsidRDefault="005D4503" w:rsidP="005D4503">
      <w:pPr>
        <w:pStyle w:val="Heading2"/>
      </w:pPr>
      <w:r>
        <w:t>4.2.0 Running shutdown-arm.ps1 locally</w:t>
      </w:r>
    </w:p>
    <w:p w14:paraId="7A36514C" w14:textId="77777777" w:rsidR="00FE200E" w:rsidRDefault="00FE200E" w:rsidP="005D4503">
      <w:r>
        <w:t>The script can be run locally with minimal changes. This can be helpful when debugging or making significant changes. There are 2 sections of the script that are related to authentication that must be properly configured:</w:t>
      </w:r>
    </w:p>
    <w:p w14:paraId="10D9DB01" w14:textId="77777777" w:rsidR="00FE200E" w:rsidRDefault="00FE200E" w:rsidP="005D4503"/>
    <w:p w14:paraId="10B37BB9" w14:textId="77777777" w:rsidR="00FE200E" w:rsidRDefault="00FE200E" w:rsidP="00FE200E">
      <w:pPr>
        <w:pStyle w:val="ListParagraph"/>
        <w:numPr>
          <w:ilvl w:val="0"/>
          <w:numId w:val="3"/>
        </w:numPr>
      </w:pPr>
      <w:r>
        <w:t>In Log-Operation, the “# credentials for production” section must be commented out and “# credentials for local testing” must be uncommented.</w:t>
      </w:r>
      <w:r>
        <w:br/>
      </w:r>
    </w:p>
    <w:p w14:paraId="509E3130" w14:textId="77777777" w:rsidR="00FE200E" w:rsidRDefault="00FE200E" w:rsidP="00FE200E">
      <w:pPr>
        <w:pStyle w:val="ListParagraph"/>
        <w:numPr>
          <w:ilvl w:val="1"/>
          <w:numId w:val="3"/>
        </w:numPr>
      </w:pPr>
      <w:r>
        <w:t>The “$</w:t>
      </w:r>
      <w:proofErr w:type="spellStart"/>
      <w:r>
        <w:t>dbPassword</w:t>
      </w:r>
      <w:proofErr w:type="spellEnd"/>
      <w:r>
        <w:t>” must be supplied.</w:t>
      </w:r>
      <w:r>
        <w:br/>
      </w:r>
    </w:p>
    <w:p w14:paraId="5FD1D521" w14:textId="77777777" w:rsidR="00FE200E" w:rsidRDefault="00FE200E" w:rsidP="00FE200E">
      <w:pPr>
        <w:pStyle w:val="ListParagraph"/>
        <w:numPr>
          <w:ilvl w:val="0"/>
          <w:numId w:val="3"/>
        </w:numPr>
      </w:pPr>
      <w:r>
        <w:t>In the “# login” section of the main body, the “$conn” and “$</w:t>
      </w:r>
      <w:proofErr w:type="spellStart"/>
      <w:r>
        <w:t>acnt</w:t>
      </w:r>
      <w:proofErr w:type="spellEnd"/>
      <w:r>
        <w:t>” lines must be commented out.</w:t>
      </w:r>
    </w:p>
    <w:p w14:paraId="0FEA32E6" w14:textId="77777777" w:rsidR="00FE200E" w:rsidRDefault="00FE200E" w:rsidP="00FE200E">
      <w:pPr>
        <w:ind w:left="360"/>
      </w:pPr>
    </w:p>
    <w:p w14:paraId="26AF6837" w14:textId="77777777" w:rsidR="00FE200E" w:rsidRDefault="00FE200E" w:rsidP="00FE200E">
      <w:r>
        <w:t>You should have the latest version of PowerShell and Azure PowerShell installed locally. You must login to Azure before executing the script using “Login-</w:t>
      </w:r>
      <w:proofErr w:type="spellStart"/>
      <w:r>
        <w:t>AzureRmAccount</w:t>
      </w:r>
      <w:proofErr w:type="spellEnd"/>
      <w:r>
        <w:t>”.</w:t>
      </w:r>
    </w:p>
    <w:p w14:paraId="323DC479" w14:textId="77777777" w:rsidR="00FE200E" w:rsidRDefault="00FE200E" w:rsidP="00FE200E"/>
    <w:p w14:paraId="06A71C2B" w14:textId="77777777" w:rsidR="00FE200E" w:rsidRDefault="00FE200E" w:rsidP="00FE200E">
      <w:pPr>
        <w:pStyle w:val="Heading2"/>
      </w:pPr>
      <w:r>
        <w:t>4.3.0 Running email-shutdown-logs in Azure Automation</w:t>
      </w:r>
    </w:p>
    <w:p w14:paraId="53F058AA" w14:textId="77777777" w:rsidR="00FE200E" w:rsidRDefault="00FE200E" w:rsidP="00FE200E">
      <w:r>
        <w:t>Section 3.0.0 identifies the appropriate Azure Automation Account. To execute the runbook once, simply select it in the portal and click “Start”.</w:t>
      </w:r>
    </w:p>
    <w:p w14:paraId="468650B1" w14:textId="77777777" w:rsidR="00FE200E" w:rsidRDefault="00FE200E" w:rsidP="00FE200E"/>
    <w:p w14:paraId="29D27576" w14:textId="40E448D2" w:rsidR="00FE200E" w:rsidRDefault="00FE200E" w:rsidP="00FE200E">
      <w:r>
        <w:t>This runbook should be configured to run once a day at 8pm Eastern Time.</w:t>
      </w:r>
    </w:p>
    <w:p w14:paraId="09F0FD92" w14:textId="77777777" w:rsidR="00FE200E" w:rsidRDefault="00FE200E" w:rsidP="00FE200E"/>
    <w:p w14:paraId="7D3C8B60" w14:textId="77777777" w:rsidR="00FE200E" w:rsidRDefault="00FE200E" w:rsidP="00FE200E">
      <w:r>
        <w:t>There are 2 sections of the script that are related to authentication that must be properly configured:</w:t>
      </w:r>
      <w:r>
        <w:br/>
      </w:r>
    </w:p>
    <w:p w14:paraId="16BBCAB4" w14:textId="77777777" w:rsidR="00FE200E" w:rsidRDefault="00FE200E" w:rsidP="00FE200E">
      <w:pPr>
        <w:pStyle w:val="ListParagraph"/>
        <w:numPr>
          <w:ilvl w:val="0"/>
          <w:numId w:val="3"/>
        </w:numPr>
      </w:pPr>
      <w:r>
        <w:t>At the beginning of the main body</w:t>
      </w:r>
      <w:r w:rsidR="009E71F3">
        <w:t xml:space="preserve"> for the database credentials</w:t>
      </w:r>
      <w:r>
        <w:t xml:space="preserve">, the “# credentials for local testing” </w:t>
      </w:r>
      <w:r w:rsidR="009E71F3">
        <w:t>must be commented out and “# credentials for production” must be uncommented.</w:t>
      </w:r>
      <w:r>
        <w:br/>
      </w:r>
    </w:p>
    <w:p w14:paraId="3D5C135D" w14:textId="77777777" w:rsidR="00FE200E" w:rsidRDefault="009E71F3" w:rsidP="009E71F3">
      <w:pPr>
        <w:pStyle w:val="ListParagraph"/>
        <w:numPr>
          <w:ilvl w:val="0"/>
          <w:numId w:val="3"/>
        </w:numPr>
      </w:pPr>
      <w:r>
        <w:t>At the end of the main body for the email credentials, the “# credentials for local testing” must be commented out and “# credentials for production” must be uncommented.</w:t>
      </w:r>
      <w:r>
        <w:br/>
      </w:r>
    </w:p>
    <w:p w14:paraId="105FA490" w14:textId="77777777" w:rsidR="009E71F3" w:rsidRDefault="009E71F3" w:rsidP="009E71F3">
      <w:pPr>
        <w:pStyle w:val="Heading2"/>
      </w:pPr>
      <w:r>
        <w:t>4.4.0 Running email-shutdown-logs.ps1 locally</w:t>
      </w:r>
    </w:p>
    <w:p w14:paraId="4038F09E" w14:textId="77777777" w:rsidR="009E71F3" w:rsidRDefault="009E71F3" w:rsidP="009E71F3">
      <w:r>
        <w:t>The script can be run locally with minimal changes. This can be helpful when debugging or making significant changes. There are 2 sections of the script that are related to authentication that must be properly configured:</w:t>
      </w:r>
    </w:p>
    <w:p w14:paraId="6373C21A" w14:textId="77777777" w:rsidR="009E71F3" w:rsidRDefault="009E71F3" w:rsidP="009E71F3"/>
    <w:p w14:paraId="6AEA3E14" w14:textId="77777777" w:rsidR="009E71F3" w:rsidRDefault="009E71F3" w:rsidP="009E71F3">
      <w:pPr>
        <w:pStyle w:val="ListParagraph"/>
        <w:numPr>
          <w:ilvl w:val="0"/>
          <w:numId w:val="3"/>
        </w:numPr>
      </w:pPr>
      <w:r>
        <w:lastRenderedPageBreak/>
        <w:t>At the beginning of the main body for the database credentials, the “# credentials for local testing” must be uncommented and “# credentials for production” must be commented out.</w:t>
      </w:r>
      <w:r>
        <w:br/>
      </w:r>
    </w:p>
    <w:p w14:paraId="375C6EEA" w14:textId="77777777" w:rsidR="009E71F3" w:rsidRDefault="009E71F3" w:rsidP="009E71F3">
      <w:pPr>
        <w:pStyle w:val="ListParagraph"/>
        <w:numPr>
          <w:ilvl w:val="0"/>
          <w:numId w:val="3"/>
        </w:numPr>
      </w:pPr>
      <w:r>
        <w:t>At the end of the main body for the email credentials, the “# credentials for local testing” must be uncommented and “# credentials for production” must be commented out.</w:t>
      </w:r>
    </w:p>
    <w:p w14:paraId="7017E557" w14:textId="77777777" w:rsidR="009E71F3" w:rsidRDefault="009E71F3" w:rsidP="009E71F3"/>
    <w:p w14:paraId="5FC62EBE" w14:textId="77777777" w:rsidR="009E71F3" w:rsidRDefault="009E71F3" w:rsidP="009E71F3">
      <w:r>
        <w:t>You should have the latest version of PowerShell and Azure PowerShell installed locally.</w:t>
      </w:r>
    </w:p>
    <w:p w14:paraId="50FC1DD7" w14:textId="77777777" w:rsidR="009E71F3" w:rsidRDefault="009E71F3" w:rsidP="009E71F3">
      <w:pPr>
        <w:pStyle w:val="Heading1"/>
      </w:pPr>
      <w:r>
        <w:t>5.0.0 Configuration Tables</w:t>
      </w:r>
    </w:p>
    <w:p w14:paraId="7311B3BE" w14:textId="77777777" w:rsidR="009E71F3" w:rsidRDefault="009E71F3" w:rsidP="009E71F3">
      <w:r>
        <w:t>There are a couple of configuration tables that are stored in Azure Storage:</w:t>
      </w:r>
    </w:p>
    <w:p w14:paraId="09297CC8" w14:textId="77777777" w:rsidR="009E71F3" w:rsidRDefault="009E71F3" w:rsidP="009E71F3"/>
    <w:tbl>
      <w:tblPr>
        <w:tblStyle w:val="TableGrid"/>
        <w:tblW w:w="0" w:type="auto"/>
        <w:tblLook w:val="04A0" w:firstRow="1" w:lastRow="0" w:firstColumn="1" w:lastColumn="0" w:noHBand="0" w:noVBand="1"/>
      </w:tblPr>
      <w:tblGrid>
        <w:gridCol w:w="5395"/>
        <w:gridCol w:w="5395"/>
      </w:tblGrid>
      <w:tr w:rsidR="009E71F3" w14:paraId="2E880D4C" w14:textId="77777777" w:rsidTr="007E4B62">
        <w:tc>
          <w:tcPr>
            <w:tcW w:w="5395" w:type="dxa"/>
          </w:tcPr>
          <w:p w14:paraId="17A4C8C5" w14:textId="77777777" w:rsidR="009E71F3" w:rsidRDefault="009E71F3" w:rsidP="007E4B62">
            <w:r>
              <w:t>Subscription</w:t>
            </w:r>
          </w:p>
        </w:tc>
        <w:tc>
          <w:tcPr>
            <w:tcW w:w="5395" w:type="dxa"/>
          </w:tcPr>
          <w:p w14:paraId="27B6E551" w14:textId="10CA7C87" w:rsidR="009E71F3" w:rsidRDefault="009E71F3" w:rsidP="007E4B62"/>
        </w:tc>
      </w:tr>
      <w:tr w:rsidR="009E71F3" w14:paraId="49DD69B6" w14:textId="77777777" w:rsidTr="009E71F3">
        <w:trPr>
          <w:trHeight w:val="314"/>
        </w:trPr>
        <w:tc>
          <w:tcPr>
            <w:tcW w:w="5395" w:type="dxa"/>
          </w:tcPr>
          <w:p w14:paraId="3472F148" w14:textId="77777777" w:rsidR="009E71F3" w:rsidRDefault="009E71F3" w:rsidP="007E4B62">
            <w:r>
              <w:t>Resource Group</w:t>
            </w:r>
          </w:p>
        </w:tc>
        <w:tc>
          <w:tcPr>
            <w:tcW w:w="5395" w:type="dxa"/>
          </w:tcPr>
          <w:p w14:paraId="389F1460" w14:textId="43181186" w:rsidR="009E71F3" w:rsidRDefault="009E71F3" w:rsidP="007E4B62"/>
        </w:tc>
      </w:tr>
      <w:tr w:rsidR="009E71F3" w14:paraId="0A6088EE" w14:textId="77777777" w:rsidTr="007E4B62">
        <w:tc>
          <w:tcPr>
            <w:tcW w:w="5395" w:type="dxa"/>
          </w:tcPr>
          <w:p w14:paraId="4E2D45DB" w14:textId="77777777" w:rsidR="009E71F3" w:rsidRDefault="009E71F3" w:rsidP="007E4B62">
            <w:r>
              <w:t>Location</w:t>
            </w:r>
          </w:p>
        </w:tc>
        <w:tc>
          <w:tcPr>
            <w:tcW w:w="5395" w:type="dxa"/>
          </w:tcPr>
          <w:p w14:paraId="39DDBB20" w14:textId="0D650A4A" w:rsidR="009E71F3" w:rsidRDefault="009E71F3" w:rsidP="009E71F3"/>
        </w:tc>
      </w:tr>
      <w:tr w:rsidR="009E71F3" w14:paraId="7439DAB2" w14:textId="77777777" w:rsidTr="007E4B62">
        <w:tc>
          <w:tcPr>
            <w:tcW w:w="5395" w:type="dxa"/>
          </w:tcPr>
          <w:p w14:paraId="3471BED2" w14:textId="77777777" w:rsidR="009E71F3" w:rsidRDefault="009E71F3" w:rsidP="007E4B62">
            <w:r>
              <w:t>Storage Account</w:t>
            </w:r>
          </w:p>
        </w:tc>
        <w:tc>
          <w:tcPr>
            <w:tcW w:w="5395" w:type="dxa"/>
          </w:tcPr>
          <w:p w14:paraId="0AB24626" w14:textId="78486CBB" w:rsidR="009E71F3" w:rsidRDefault="009E71F3" w:rsidP="007E4B62"/>
        </w:tc>
      </w:tr>
      <w:tr w:rsidR="009E71F3" w14:paraId="130577E7" w14:textId="77777777" w:rsidTr="007E4B62">
        <w:trPr>
          <w:trHeight w:val="251"/>
        </w:trPr>
        <w:tc>
          <w:tcPr>
            <w:tcW w:w="5395" w:type="dxa"/>
          </w:tcPr>
          <w:p w14:paraId="6A87D606" w14:textId="77777777" w:rsidR="009E71F3" w:rsidRDefault="009E71F3" w:rsidP="007E4B62">
            <w:r>
              <w:t>Tables</w:t>
            </w:r>
          </w:p>
        </w:tc>
        <w:tc>
          <w:tcPr>
            <w:tcW w:w="5395" w:type="dxa"/>
          </w:tcPr>
          <w:p w14:paraId="782A8BA7" w14:textId="77777777" w:rsidR="009E71F3" w:rsidRDefault="009E71F3" w:rsidP="007E4B62">
            <w:proofErr w:type="spellStart"/>
            <w:r>
              <w:t>automationRules</w:t>
            </w:r>
            <w:proofErr w:type="spellEnd"/>
          </w:p>
          <w:p w14:paraId="133C7FF4" w14:textId="77777777" w:rsidR="009E71F3" w:rsidRDefault="009E71F3" w:rsidP="007E4B62">
            <w:proofErr w:type="spellStart"/>
            <w:r>
              <w:t>automationTimezones</w:t>
            </w:r>
            <w:proofErr w:type="spellEnd"/>
          </w:p>
        </w:tc>
      </w:tr>
    </w:tbl>
    <w:p w14:paraId="53D59E9A" w14:textId="77777777" w:rsidR="009E71F3" w:rsidRDefault="009E71F3" w:rsidP="009E71F3"/>
    <w:p w14:paraId="453250F0" w14:textId="77777777" w:rsidR="009E71F3" w:rsidRDefault="009E71F3" w:rsidP="009E71F3">
      <w:pPr>
        <w:pStyle w:val="Heading2"/>
      </w:pPr>
      <w:r>
        <w:t xml:space="preserve">5.1.0 </w:t>
      </w:r>
      <w:proofErr w:type="spellStart"/>
      <w:r>
        <w:t>automationRules</w:t>
      </w:r>
      <w:proofErr w:type="spellEnd"/>
    </w:p>
    <w:p w14:paraId="3657DC9B" w14:textId="7F973D89" w:rsidR="009E71F3" w:rsidRDefault="009E71F3" w:rsidP="009E71F3">
      <w:r>
        <w:t xml:space="preserve">The </w:t>
      </w:r>
      <w:proofErr w:type="spellStart"/>
      <w:r>
        <w:t>automationRules</w:t>
      </w:r>
      <w:proofErr w:type="spellEnd"/>
      <w:r>
        <w:t xml:space="preserve"> table</w:t>
      </w:r>
      <w:r w:rsidR="0050229A">
        <w:t xml:space="preserve"> contains a set of rules that allow you to manage the scope of what is considered for shutdown.</w:t>
      </w:r>
    </w:p>
    <w:p w14:paraId="282835F9" w14:textId="77777777" w:rsidR="00AF3B35" w:rsidRDefault="00AF3B35" w:rsidP="009E71F3"/>
    <w:p w14:paraId="29AB508C" w14:textId="600CAB66" w:rsidR="00AF3B35" w:rsidRDefault="00AF3B35" w:rsidP="009E71F3">
      <w:r>
        <w:t>This table is created by the “initialize-storage.ps1” script. A sample row is created, but this can be deleted or modified as appropriate.</w:t>
      </w:r>
    </w:p>
    <w:p w14:paraId="4CDC2E0A" w14:textId="77777777" w:rsidR="00AF3B35" w:rsidRDefault="00AF3B35" w:rsidP="009E71F3"/>
    <w:p w14:paraId="35DF15C4" w14:textId="0AEDFE8B" w:rsidR="00AF3B35" w:rsidRDefault="00AF3B35" w:rsidP="009E71F3">
      <w:r>
        <w:t>At a minimum, there should be 1 rule for each subscription that should be considered for shutdown.</w:t>
      </w:r>
    </w:p>
    <w:p w14:paraId="2D9D9210" w14:textId="77777777" w:rsidR="0050229A" w:rsidRDefault="0050229A" w:rsidP="009E71F3"/>
    <w:p w14:paraId="10F946BC" w14:textId="774740CE" w:rsidR="0050229A" w:rsidRDefault="0050229A" w:rsidP="009E71F3">
      <w:r>
        <w:t>More specific rules take precedent over less specific rules. Specifying a “</w:t>
      </w:r>
      <w:proofErr w:type="spellStart"/>
      <w:r>
        <w:t>SubscriptionId</w:t>
      </w:r>
      <w:proofErr w:type="spellEnd"/>
      <w:r>
        <w:t>” (which is required) is worth 4 points, specifying a “Region” is worth 8 points, and specifying a “VM” is worth 32 points. For example, a rule that specifies a subscription and region would have a priority of 12 and be rated higher than a rule that specifies just a subscription which would have a priority of just 4.</w:t>
      </w:r>
    </w:p>
    <w:p w14:paraId="68209C84" w14:textId="77777777" w:rsidR="0050229A" w:rsidRDefault="0050229A" w:rsidP="009E71F3"/>
    <w:p w14:paraId="46215596" w14:textId="32C7CD43" w:rsidR="0050229A" w:rsidRDefault="0050229A" w:rsidP="009E71F3">
      <w:r>
        <w:t xml:space="preserve">It is recommended that you use </w:t>
      </w:r>
      <w:hyperlink r:id="rId7" w:history="1">
        <w:r w:rsidRPr="0050229A">
          <w:rPr>
            <w:rStyle w:val="Hyperlink"/>
          </w:rPr>
          <w:t>Microsoft Azure Storage Explorer</w:t>
        </w:r>
      </w:hyperlink>
      <w:r>
        <w:t xml:space="preserve"> (available for Windows, </w:t>
      </w:r>
      <w:proofErr w:type="spellStart"/>
      <w:r>
        <w:t>macOS</w:t>
      </w:r>
      <w:proofErr w:type="spellEnd"/>
      <w:r>
        <w:t>, and Linux) to interact with the storage tables.</w:t>
      </w:r>
    </w:p>
    <w:p w14:paraId="63B702D8" w14:textId="77777777" w:rsidR="00CE49A2" w:rsidRDefault="00CE49A2" w:rsidP="009E71F3"/>
    <w:tbl>
      <w:tblPr>
        <w:tblStyle w:val="GridTable4-Accent1"/>
        <w:tblW w:w="0" w:type="auto"/>
        <w:tblLook w:val="0620" w:firstRow="1" w:lastRow="0" w:firstColumn="0" w:lastColumn="0" w:noHBand="1" w:noVBand="1"/>
      </w:tblPr>
      <w:tblGrid>
        <w:gridCol w:w="2900"/>
        <w:gridCol w:w="1318"/>
        <w:gridCol w:w="6572"/>
      </w:tblGrid>
      <w:tr w:rsidR="00681ECD" w14:paraId="402BE0E0" w14:textId="77777777" w:rsidTr="00681ECD">
        <w:trPr>
          <w:cnfStyle w:val="100000000000" w:firstRow="1" w:lastRow="0" w:firstColumn="0" w:lastColumn="0" w:oddVBand="0" w:evenVBand="0" w:oddHBand="0" w:evenHBand="0" w:firstRowFirstColumn="0" w:firstRowLastColumn="0" w:lastRowFirstColumn="0" w:lastRowLastColumn="0"/>
        </w:trPr>
        <w:tc>
          <w:tcPr>
            <w:tcW w:w="2900" w:type="dxa"/>
          </w:tcPr>
          <w:p w14:paraId="7EF4FED1" w14:textId="77777777" w:rsidR="00681ECD" w:rsidRDefault="00681ECD" w:rsidP="009E71F3">
            <w:r>
              <w:t>Column</w:t>
            </w:r>
          </w:p>
        </w:tc>
        <w:tc>
          <w:tcPr>
            <w:tcW w:w="1318" w:type="dxa"/>
          </w:tcPr>
          <w:p w14:paraId="17E09CC7" w14:textId="77777777" w:rsidR="00681ECD" w:rsidRDefault="00681ECD" w:rsidP="009E71F3">
            <w:r>
              <w:t>Required?</w:t>
            </w:r>
          </w:p>
        </w:tc>
        <w:tc>
          <w:tcPr>
            <w:tcW w:w="6572" w:type="dxa"/>
          </w:tcPr>
          <w:p w14:paraId="1EEB33B8" w14:textId="77777777" w:rsidR="00681ECD" w:rsidRDefault="00681ECD" w:rsidP="009E71F3">
            <w:r>
              <w:t>Description</w:t>
            </w:r>
          </w:p>
        </w:tc>
      </w:tr>
      <w:tr w:rsidR="00681ECD" w14:paraId="68F43FB1" w14:textId="77777777" w:rsidTr="00681ECD">
        <w:trPr>
          <w:trHeight w:val="314"/>
        </w:trPr>
        <w:tc>
          <w:tcPr>
            <w:tcW w:w="2900" w:type="dxa"/>
          </w:tcPr>
          <w:p w14:paraId="6E5ED2B4" w14:textId="77777777" w:rsidR="00681ECD" w:rsidRDefault="00681ECD" w:rsidP="009E71F3">
            <w:proofErr w:type="spellStart"/>
            <w:r>
              <w:t>PartitionKey</w:t>
            </w:r>
            <w:proofErr w:type="spellEnd"/>
          </w:p>
        </w:tc>
        <w:tc>
          <w:tcPr>
            <w:tcW w:w="1318" w:type="dxa"/>
          </w:tcPr>
          <w:p w14:paraId="46C641B8" w14:textId="77777777" w:rsidR="00681ECD" w:rsidRDefault="00681ECD" w:rsidP="00681ECD">
            <w:pPr>
              <w:jc w:val="center"/>
            </w:pPr>
            <w:r>
              <w:t>Yes</w:t>
            </w:r>
          </w:p>
        </w:tc>
        <w:tc>
          <w:tcPr>
            <w:tcW w:w="6572" w:type="dxa"/>
          </w:tcPr>
          <w:p w14:paraId="3ED41346" w14:textId="6DBA42F2" w:rsidR="00681ECD" w:rsidRDefault="00AF3B35" w:rsidP="00AF3B35">
            <w:r>
              <w:t>This s</w:t>
            </w:r>
            <w:r w:rsidR="00681ECD">
              <w:t>hould always be “automation”, there is no need to partition this small amount of data.</w:t>
            </w:r>
            <w:r w:rsidR="001E34B6">
              <w:br/>
            </w:r>
          </w:p>
        </w:tc>
      </w:tr>
      <w:tr w:rsidR="00681ECD" w14:paraId="75D8E40A" w14:textId="77777777" w:rsidTr="00681ECD">
        <w:tc>
          <w:tcPr>
            <w:tcW w:w="2900" w:type="dxa"/>
          </w:tcPr>
          <w:p w14:paraId="7D3C4C47" w14:textId="77777777" w:rsidR="00681ECD" w:rsidRDefault="00681ECD" w:rsidP="009E71F3">
            <w:proofErr w:type="spellStart"/>
            <w:r>
              <w:t>RowKey</w:t>
            </w:r>
            <w:proofErr w:type="spellEnd"/>
          </w:p>
        </w:tc>
        <w:tc>
          <w:tcPr>
            <w:tcW w:w="1318" w:type="dxa"/>
          </w:tcPr>
          <w:p w14:paraId="0D473DFA" w14:textId="77777777" w:rsidR="00681ECD" w:rsidRDefault="00681ECD" w:rsidP="00681ECD">
            <w:pPr>
              <w:jc w:val="center"/>
            </w:pPr>
            <w:r>
              <w:t>Yes</w:t>
            </w:r>
          </w:p>
        </w:tc>
        <w:tc>
          <w:tcPr>
            <w:tcW w:w="6572" w:type="dxa"/>
          </w:tcPr>
          <w:p w14:paraId="01214ECE" w14:textId="31C510B7" w:rsidR="00681ECD" w:rsidRDefault="00AF3B35" w:rsidP="009E71F3">
            <w:r>
              <w:t>This s</w:t>
            </w:r>
            <w:r w:rsidR="00681ECD">
              <w:t>hould be a unique name for the rule, ex. “Shutdown East US”. It can be up to 255 characters.</w:t>
            </w:r>
            <w:r w:rsidR="001E34B6">
              <w:br/>
            </w:r>
          </w:p>
        </w:tc>
      </w:tr>
      <w:tr w:rsidR="00681ECD" w14:paraId="18B45108" w14:textId="77777777" w:rsidTr="00681ECD">
        <w:tc>
          <w:tcPr>
            <w:tcW w:w="2900" w:type="dxa"/>
          </w:tcPr>
          <w:p w14:paraId="1CB13E1C" w14:textId="77777777" w:rsidR="00681ECD" w:rsidRDefault="00681ECD" w:rsidP="009E71F3">
            <w:proofErr w:type="spellStart"/>
            <w:r>
              <w:t>SubscriptionId</w:t>
            </w:r>
            <w:proofErr w:type="spellEnd"/>
          </w:p>
        </w:tc>
        <w:tc>
          <w:tcPr>
            <w:tcW w:w="1318" w:type="dxa"/>
          </w:tcPr>
          <w:p w14:paraId="56A87B88" w14:textId="77777777" w:rsidR="00681ECD" w:rsidRDefault="00681ECD" w:rsidP="00681ECD">
            <w:pPr>
              <w:jc w:val="center"/>
            </w:pPr>
            <w:r>
              <w:t>Yes</w:t>
            </w:r>
          </w:p>
        </w:tc>
        <w:tc>
          <w:tcPr>
            <w:tcW w:w="6572" w:type="dxa"/>
          </w:tcPr>
          <w:p w14:paraId="283EA0AD" w14:textId="7354BD35" w:rsidR="00681ECD" w:rsidRDefault="00AF3B35" w:rsidP="009E71F3">
            <w:r>
              <w:t>This s</w:t>
            </w:r>
            <w:r w:rsidR="00681ECD">
              <w:t>hould be the ID of the subscription that contains VMs that should be shutdown, ex.</w:t>
            </w:r>
            <w:r w:rsidR="00681ECD" w:rsidRPr="00681ECD">
              <w:t xml:space="preserve"> “bb8b8c18-67da-4a87-be7a-680da44f18e0”</w:t>
            </w:r>
            <w:r w:rsidR="00681ECD">
              <w:t>.</w:t>
            </w:r>
          </w:p>
          <w:p w14:paraId="1897F590" w14:textId="77777777" w:rsidR="001E34B6" w:rsidRPr="00681ECD" w:rsidRDefault="001E34B6" w:rsidP="009E71F3">
            <w:pPr>
              <w:rPr>
                <w:rFonts w:ascii="Times New Roman" w:eastAsia="Times New Roman" w:hAnsi="Times New Roman" w:cs="Times New Roman"/>
              </w:rPr>
            </w:pPr>
          </w:p>
        </w:tc>
      </w:tr>
      <w:tr w:rsidR="00681ECD" w14:paraId="1C298C5B" w14:textId="77777777" w:rsidTr="00681ECD">
        <w:tc>
          <w:tcPr>
            <w:tcW w:w="2900" w:type="dxa"/>
          </w:tcPr>
          <w:p w14:paraId="589570D4" w14:textId="77777777" w:rsidR="00681ECD" w:rsidRDefault="00681ECD" w:rsidP="009E71F3">
            <w:r>
              <w:t>Region</w:t>
            </w:r>
          </w:p>
        </w:tc>
        <w:tc>
          <w:tcPr>
            <w:tcW w:w="1318" w:type="dxa"/>
          </w:tcPr>
          <w:p w14:paraId="78165572" w14:textId="77777777" w:rsidR="00681ECD" w:rsidRDefault="00681ECD" w:rsidP="00681ECD">
            <w:pPr>
              <w:jc w:val="center"/>
            </w:pPr>
            <w:r>
              <w:t>No, *</w:t>
            </w:r>
          </w:p>
        </w:tc>
        <w:tc>
          <w:tcPr>
            <w:tcW w:w="6572" w:type="dxa"/>
          </w:tcPr>
          <w:p w14:paraId="0BD8EDDA" w14:textId="072B52FF" w:rsidR="00681ECD" w:rsidRDefault="00681ECD" w:rsidP="00681ECD">
            <w:r>
              <w:t>An Azure region code can optionally be used to scope this rule to only those VMs within a region, ex. “</w:t>
            </w:r>
            <w:proofErr w:type="spellStart"/>
            <w:r>
              <w:t>eastus</w:t>
            </w:r>
            <w:proofErr w:type="spellEnd"/>
            <w:r>
              <w:t>”</w:t>
            </w:r>
            <w:r w:rsidR="001E34B6">
              <w:t>.</w:t>
            </w:r>
            <w:r>
              <w:br/>
            </w:r>
            <w:r w:rsidR="001E34B6">
              <w:lastRenderedPageBreak/>
              <w:br/>
            </w:r>
            <w:r>
              <w:t>* This is required if a VM is specified.</w:t>
            </w:r>
            <w:r w:rsidR="001E34B6">
              <w:br/>
            </w:r>
          </w:p>
        </w:tc>
      </w:tr>
      <w:tr w:rsidR="00681ECD" w14:paraId="5E3D7376" w14:textId="77777777" w:rsidTr="00681ECD">
        <w:tc>
          <w:tcPr>
            <w:tcW w:w="2900" w:type="dxa"/>
          </w:tcPr>
          <w:p w14:paraId="00FA2F77" w14:textId="77777777" w:rsidR="00681ECD" w:rsidRDefault="00681ECD" w:rsidP="009E71F3">
            <w:r>
              <w:lastRenderedPageBreak/>
              <w:t>VM</w:t>
            </w:r>
          </w:p>
        </w:tc>
        <w:tc>
          <w:tcPr>
            <w:tcW w:w="1318" w:type="dxa"/>
          </w:tcPr>
          <w:p w14:paraId="18FBA8BF" w14:textId="77777777" w:rsidR="00681ECD" w:rsidRDefault="00681ECD" w:rsidP="00681ECD">
            <w:pPr>
              <w:jc w:val="center"/>
            </w:pPr>
            <w:r>
              <w:t>No</w:t>
            </w:r>
          </w:p>
        </w:tc>
        <w:tc>
          <w:tcPr>
            <w:tcW w:w="6572" w:type="dxa"/>
          </w:tcPr>
          <w:p w14:paraId="098569EE" w14:textId="241BC13A" w:rsidR="00681ECD" w:rsidRDefault="00681ECD" w:rsidP="009E71F3">
            <w:r>
              <w:t>The name of a VM can optionally be used to scope this rule to a specific VM, “</w:t>
            </w:r>
            <w:proofErr w:type="spellStart"/>
            <w:r>
              <w:t>plasne-testshutdown</w:t>
            </w:r>
            <w:proofErr w:type="spellEnd"/>
            <w:r>
              <w:t>”.</w:t>
            </w:r>
            <w:r w:rsidR="001E34B6">
              <w:br/>
            </w:r>
          </w:p>
        </w:tc>
      </w:tr>
      <w:tr w:rsidR="00681ECD" w14:paraId="165F95BD" w14:textId="77777777" w:rsidTr="00681ECD">
        <w:tc>
          <w:tcPr>
            <w:tcW w:w="2900" w:type="dxa"/>
          </w:tcPr>
          <w:p w14:paraId="76836D90" w14:textId="77777777" w:rsidR="00681ECD" w:rsidRDefault="00681ECD" w:rsidP="009E71F3">
            <w:proofErr w:type="spellStart"/>
            <w:r>
              <w:t>ShutdownWindowFrom</w:t>
            </w:r>
            <w:proofErr w:type="spellEnd"/>
          </w:p>
        </w:tc>
        <w:tc>
          <w:tcPr>
            <w:tcW w:w="1318" w:type="dxa"/>
          </w:tcPr>
          <w:p w14:paraId="2B0F20DB" w14:textId="77777777" w:rsidR="00681ECD" w:rsidRDefault="00681ECD" w:rsidP="00681ECD">
            <w:pPr>
              <w:jc w:val="center"/>
            </w:pPr>
            <w:r>
              <w:t>No</w:t>
            </w:r>
          </w:p>
        </w:tc>
        <w:tc>
          <w:tcPr>
            <w:tcW w:w="6572" w:type="dxa"/>
          </w:tcPr>
          <w:p w14:paraId="7E6C28A1" w14:textId="7853C382" w:rsidR="00681ECD" w:rsidRDefault="00681ECD" w:rsidP="00A21F4C">
            <w:r>
              <w:t xml:space="preserve">An integer can optionally be used to describe the hour to start considering the VMs for shutdown, ex. “18”. The hour is </w:t>
            </w:r>
            <w:r w:rsidR="00A21F4C">
              <w:t>24-time in the local time zone. For instance, if the VM is located in “</w:t>
            </w:r>
            <w:proofErr w:type="spellStart"/>
            <w:r w:rsidR="00A21F4C">
              <w:t>westus</w:t>
            </w:r>
            <w:proofErr w:type="spellEnd"/>
            <w:r w:rsidR="00A21F4C">
              <w:t>” and the shutdown window starts at “18”, it will start considering the VM for shutdown at 6pm in the Pacific time zone.</w:t>
            </w:r>
            <w:r w:rsidR="001E34B6">
              <w:br/>
            </w:r>
            <w:r w:rsidR="00A21F4C">
              <w:br/>
              <w:t>If this is not specified, a default value of “19” (7pm local time) is used.</w:t>
            </w:r>
            <w:r w:rsidR="001E34B6">
              <w:br/>
            </w:r>
          </w:p>
        </w:tc>
      </w:tr>
      <w:tr w:rsidR="00681ECD" w14:paraId="6195C5FE" w14:textId="77777777" w:rsidTr="00681ECD">
        <w:trPr>
          <w:trHeight w:val="332"/>
        </w:trPr>
        <w:tc>
          <w:tcPr>
            <w:tcW w:w="2900" w:type="dxa"/>
          </w:tcPr>
          <w:p w14:paraId="6C0020D7" w14:textId="77777777" w:rsidR="00681ECD" w:rsidRDefault="00681ECD" w:rsidP="009E71F3">
            <w:proofErr w:type="spellStart"/>
            <w:r>
              <w:t>ShutdownWindowTo</w:t>
            </w:r>
            <w:proofErr w:type="spellEnd"/>
          </w:p>
        </w:tc>
        <w:tc>
          <w:tcPr>
            <w:tcW w:w="1318" w:type="dxa"/>
          </w:tcPr>
          <w:p w14:paraId="5BF8C640" w14:textId="77777777" w:rsidR="00681ECD" w:rsidRDefault="00681ECD" w:rsidP="00681ECD">
            <w:pPr>
              <w:jc w:val="center"/>
            </w:pPr>
            <w:r>
              <w:t>No</w:t>
            </w:r>
          </w:p>
        </w:tc>
        <w:tc>
          <w:tcPr>
            <w:tcW w:w="6572" w:type="dxa"/>
          </w:tcPr>
          <w:p w14:paraId="71DA5FB0" w14:textId="127D3F07" w:rsidR="00681ECD" w:rsidRDefault="00A21F4C" w:rsidP="00A21F4C">
            <w:r>
              <w:t>An integer can optionally be used to describe the hour to stop considering the VMs for shutdown, ex. “6”. The hour is 24-time in the local time zone. For instance, if the VM is located in “</w:t>
            </w:r>
            <w:proofErr w:type="spellStart"/>
            <w:r>
              <w:t>westus</w:t>
            </w:r>
            <w:proofErr w:type="spellEnd"/>
            <w:r>
              <w:t>” and the shutdown window stops at “6”, it will stop considering the VM for shutdown at 6am in the Pacific time zone.</w:t>
            </w:r>
            <w:r w:rsidR="001E34B6">
              <w:br/>
            </w:r>
            <w:r>
              <w:br/>
              <w:t>If this is not specified, a default value of “5” (5am local time) is used.</w:t>
            </w:r>
            <w:r w:rsidR="001E34B6">
              <w:br/>
            </w:r>
          </w:p>
        </w:tc>
      </w:tr>
      <w:tr w:rsidR="00681ECD" w14:paraId="5843B177" w14:textId="77777777" w:rsidTr="00A21F4C">
        <w:trPr>
          <w:trHeight w:val="620"/>
        </w:trPr>
        <w:tc>
          <w:tcPr>
            <w:tcW w:w="2900" w:type="dxa"/>
          </w:tcPr>
          <w:p w14:paraId="49D98035" w14:textId="77777777" w:rsidR="00681ECD" w:rsidRDefault="00681ECD" w:rsidP="009E71F3">
            <w:proofErr w:type="spellStart"/>
            <w:r>
              <w:t>GracePeriod</w:t>
            </w:r>
            <w:proofErr w:type="spellEnd"/>
          </w:p>
        </w:tc>
        <w:tc>
          <w:tcPr>
            <w:tcW w:w="1318" w:type="dxa"/>
          </w:tcPr>
          <w:p w14:paraId="3818506A" w14:textId="77777777" w:rsidR="00681ECD" w:rsidRDefault="00681ECD" w:rsidP="00681ECD">
            <w:pPr>
              <w:jc w:val="center"/>
            </w:pPr>
            <w:r>
              <w:t>No</w:t>
            </w:r>
          </w:p>
        </w:tc>
        <w:tc>
          <w:tcPr>
            <w:tcW w:w="6572" w:type="dxa"/>
          </w:tcPr>
          <w:p w14:paraId="17D1C036" w14:textId="69E79C59" w:rsidR="00681ECD" w:rsidRDefault="00A21F4C" w:rsidP="00A21F4C">
            <w:r>
              <w:t>An integer can optionally be used to describe the number of hours a VM is allowed to run after a startup, ex. “4”. Using this example, even if a VM is within the shutdown window, it will be allowed to run for a minimum of 4 hours since when it was last started up.</w:t>
            </w:r>
            <w:r w:rsidR="001E34B6">
              <w:br/>
            </w:r>
          </w:p>
          <w:p w14:paraId="64C798F4" w14:textId="7565F3FF" w:rsidR="00A21F4C" w:rsidRDefault="00A21F4C" w:rsidP="00A21F4C">
            <w:r>
              <w:t>If this is not specified,</w:t>
            </w:r>
            <w:r w:rsidR="001E34B6">
              <w:t xml:space="preserve"> a default value of “4” (4 hours) is used.</w:t>
            </w:r>
            <w:r w:rsidR="001E34B6">
              <w:br/>
            </w:r>
          </w:p>
        </w:tc>
      </w:tr>
      <w:tr w:rsidR="00681ECD" w14:paraId="2873B3EB" w14:textId="77777777" w:rsidTr="00A21F4C">
        <w:trPr>
          <w:trHeight w:val="323"/>
        </w:trPr>
        <w:tc>
          <w:tcPr>
            <w:tcW w:w="2900" w:type="dxa"/>
          </w:tcPr>
          <w:p w14:paraId="37FC007E" w14:textId="77777777" w:rsidR="00681ECD" w:rsidRDefault="00681ECD" w:rsidP="009E71F3">
            <w:r>
              <w:t>Shutdown</w:t>
            </w:r>
          </w:p>
        </w:tc>
        <w:tc>
          <w:tcPr>
            <w:tcW w:w="1318" w:type="dxa"/>
          </w:tcPr>
          <w:p w14:paraId="59ABA894" w14:textId="7642844A" w:rsidR="00681ECD" w:rsidRDefault="001E34B6" w:rsidP="00681ECD">
            <w:pPr>
              <w:jc w:val="center"/>
            </w:pPr>
            <w:r>
              <w:t>No</w:t>
            </w:r>
          </w:p>
        </w:tc>
        <w:tc>
          <w:tcPr>
            <w:tcW w:w="6572" w:type="dxa"/>
          </w:tcPr>
          <w:p w14:paraId="6BEADCB5" w14:textId="52A670A7" w:rsidR="00681ECD" w:rsidRDefault="001E34B6" w:rsidP="009E71F3">
            <w:r>
              <w:t>This should be a value of “true”, “false”, or it can be left blank.</w:t>
            </w:r>
            <w:r>
              <w:br/>
            </w:r>
            <w:r>
              <w:br/>
              <w:t>If it is “true”, VMs that match this rule will be shutdown (provided they are within the window and the grace period is not preventing a shutdown).</w:t>
            </w:r>
            <w:r>
              <w:br/>
            </w:r>
          </w:p>
          <w:p w14:paraId="3A3D79AE" w14:textId="77777777" w:rsidR="001E34B6" w:rsidRDefault="001E34B6" w:rsidP="009E71F3">
            <w:r>
              <w:t>If it is “false”, VMs that match this rule will not be shutdown.</w:t>
            </w:r>
            <w:r w:rsidR="0050229A">
              <w:t xml:space="preserve"> Generally this is used to specify a higher priority (more granular) rule that prevents VMs in a specific region or a specific VM from shutting down.</w:t>
            </w:r>
            <w:r w:rsidR="0050229A">
              <w:br/>
            </w:r>
          </w:p>
          <w:p w14:paraId="296F288F" w14:textId="51EFB17C" w:rsidR="0050229A" w:rsidRDefault="0050229A" w:rsidP="009E71F3">
            <w:r>
              <w:t>If it is “blank” (or anything other than “true” or “false”), the rule is ignored.</w:t>
            </w:r>
            <w:r>
              <w:br/>
            </w:r>
          </w:p>
        </w:tc>
      </w:tr>
      <w:tr w:rsidR="00681ECD" w14:paraId="6C052337" w14:textId="77777777" w:rsidTr="00681ECD">
        <w:tc>
          <w:tcPr>
            <w:tcW w:w="2900" w:type="dxa"/>
          </w:tcPr>
          <w:p w14:paraId="79C9FA29" w14:textId="6371DCF4" w:rsidR="00681ECD" w:rsidRDefault="00681ECD" w:rsidP="009E71F3">
            <w:r>
              <w:lastRenderedPageBreak/>
              <w:t>Configure</w:t>
            </w:r>
          </w:p>
        </w:tc>
        <w:tc>
          <w:tcPr>
            <w:tcW w:w="1318" w:type="dxa"/>
          </w:tcPr>
          <w:p w14:paraId="548EF526" w14:textId="77777777" w:rsidR="00681ECD" w:rsidRDefault="00681ECD" w:rsidP="00681ECD">
            <w:pPr>
              <w:jc w:val="center"/>
            </w:pPr>
            <w:r>
              <w:t>No</w:t>
            </w:r>
          </w:p>
        </w:tc>
        <w:tc>
          <w:tcPr>
            <w:tcW w:w="6572" w:type="dxa"/>
          </w:tcPr>
          <w:p w14:paraId="0B5F8F32" w14:textId="4909E9AD" w:rsidR="00681ECD" w:rsidRDefault="0050229A" w:rsidP="009E71F3">
            <w:r>
              <w:t>This is not used for shutdown automation. Instead, please see the documentation for the DSC solution.</w:t>
            </w:r>
            <w:r>
              <w:br/>
            </w:r>
          </w:p>
        </w:tc>
      </w:tr>
      <w:tr w:rsidR="00681ECD" w14:paraId="191BA279" w14:textId="77777777" w:rsidTr="00681ECD">
        <w:tc>
          <w:tcPr>
            <w:tcW w:w="2900" w:type="dxa"/>
          </w:tcPr>
          <w:p w14:paraId="1C24DBB6" w14:textId="77777777" w:rsidR="00681ECD" w:rsidRDefault="00681ECD" w:rsidP="009E71F3">
            <w:r>
              <w:t>Timestamp</w:t>
            </w:r>
          </w:p>
        </w:tc>
        <w:tc>
          <w:tcPr>
            <w:tcW w:w="1318" w:type="dxa"/>
          </w:tcPr>
          <w:p w14:paraId="4D0D89CB" w14:textId="77777777" w:rsidR="00681ECD" w:rsidRDefault="00681ECD" w:rsidP="00681ECD">
            <w:pPr>
              <w:jc w:val="center"/>
            </w:pPr>
            <w:r>
              <w:t>Automatic</w:t>
            </w:r>
          </w:p>
        </w:tc>
        <w:tc>
          <w:tcPr>
            <w:tcW w:w="6572" w:type="dxa"/>
          </w:tcPr>
          <w:p w14:paraId="1B6BFED3" w14:textId="01DBBD3A" w:rsidR="00681ECD" w:rsidRDefault="0050229A" w:rsidP="009E71F3">
            <w:r>
              <w:t>This is an field that is automatically populated with the timestamp that this rule last was created or modified.</w:t>
            </w:r>
            <w:r>
              <w:br/>
            </w:r>
          </w:p>
        </w:tc>
      </w:tr>
    </w:tbl>
    <w:p w14:paraId="5434A9D0" w14:textId="77777777" w:rsidR="00CE49A2" w:rsidRDefault="00CE49A2" w:rsidP="009E71F3"/>
    <w:p w14:paraId="036370B3" w14:textId="639BDB4F" w:rsidR="00681ECD" w:rsidRDefault="00AF3B35" w:rsidP="00AF3B35">
      <w:pPr>
        <w:pStyle w:val="Heading2"/>
      </w:pPr>
      <w:r>
        <w:t xml:space="preserve">5.2.0 </w:t>
      </w:r>
      <w:proofErr w:type="spellStart"/>
      <w:r>
        <w:t>automationTimezones</w:t>
      </w:r>
      <w:proofErr w:type="spellEnd"/>
    </w:p>
    <w:p w14:paraId="1B4C9279" w14:textId="1EFB0A60" w:rsidR="00AF3B35" w:rsidRDefault="00AF3B35" w:rsidP="009E71F3">
      <w:r>
        <w:t xml:space="preserve">The </w:t>
      </w:r>
      <w:proofErr w:type="spellStart"/>
      <w:r>
        <w:t>automationTimezones</w:t>
      </w:r>
      <w:proofErr w:type="spellEnd"/>
      <w:r>
        <w:t xml:space="preserve"> table is used by the solution to determine the appropriate time zone code used by Windows for resources in the specified Azure region. This table is what enables the solution to normalize the shutdown window so it is always in the local time.</w:t>
      </w:r>
    </w:p>
    <w:p w14:paraId="7E0A8806" w14:textId="77777777" w:rsidR="00AF3B35" w:rsidRDefault="00AF3B35" w:rsidP="009E71F3"/>
    <w:p w14:paraId="75114636" w14:textId="666A5985" w:rsidR="00AF3B35" w:rsidRDefault="00AF3B35" w:rsidP="009E71F3">
      <w:r>
        <w:t xml:space="preserve">This table is created </w:t>
      </w:r>
      <w:r w:rsidRPr="00AF3B35">
        <w:rPr>
          <w:b/>
          <w:i/>
        </w:rPr>
        <w:t>and populated</w:t>
      </w:r>
      <w:r>
        <w:t xml:space="preserve"> by the “initialize-storage.ps1” script. It is only necessary to modify this table if there is a new Azure region.</w:t>
      </w:r>
    </w:p>
    <w:p w14:paraId="2A110A07" w14:textId="77777777" w:rsidR="00AF3B35" w:rsidRDefault="00AF3B35" w:rsidP="009E71F3"/>
    <w:tbl>
      <w:tblPr>
        <w:tblStyle w:val="GridTable4-Accent1"/>
        <w:tblW w:w="0" w:type="auto"/>
        <w:tblLook w:val="0620" w:firstRow="1" w:lastRow="0" w:firstColumn="0" w:lastColumn="0" w:noHBand="1" w:noVBand="1"/>
      </w:tblPr>
      <w:tblGrid>
        <w:gridCol w:w="2900"/>
        <w:gridCol w:w="1318"/>
        <w:gridCol w:w="6572"/>
      </w:tblGrid>
      <w:tr w:rsidR="00AF3B35" w14:paraId="016258C5" w14:textId="77777777" w:rsidTr="007E4B62">
        <w:trPr>
          <w:cnfStyle w:val="100000000000" w:firstRow="1" w:lastRow="0" w:firstColumn="0" w:lastColumn="0" w:oddVBand="0" w:evenVBand="0" w:oddHBand="0" w:evenHBand="0" w:firstRowFirstColumn="0" w:firstRowLastColumn="0" w:lastRowFirstColumn="0" w:lastRowLastColumn="0"/>
        </w:trPr>
        <w:tc>
          <w:tcPr>
            <w:tcW w:w="2900" w:type="dxa"/>
          </w:tcPr>
          <w:p w14:paraId="0E238AE7" w14:textId="77777777" w:rsidR="00AF3B35" w:rsidRDefault="00AF3B35" w:rsidP="007E4B62">
            <w:r>
              <w:t>Column</w:t>
            </w:r>
          </w:p>
        </w:tc>
        <w:tc>
          <w:tcPr>
            <w:tcW w:w="1318" w:type="dxa"/>
          </w:tcPr>
          <w:p w14:paraId="04947040" w14:textId="77777777" w:rsidR="00AF3B35" w:rsidRDefault="00AF3B35" w:rsidP="007E4B62">
            <w:r>
              <w:t>Required?</w:t>
            </w:r>
          </w:p>
        </w:tc>
        <w:tc>
          <w:tcPr>
            <w:tcW w:w="6572" w:type="dxa"/>
          </w:tcPr>
          <w:p w14:paraId="4DA300CB" w14:textId="77777777" w:rsidR="00AF3B35" w:rsidRDefault="00AF3B35" w:rsidP="007E4B62">
            <w:r>
              <w:t>Description</w:t>
            </w:r>
          </w:p>
        </w:tc>
      </w:tr>
      <w:tr w:rsidR="00AF3B35" w14:paraId="7BDF12C4" w14:textId="77777777" w:rsidTr="007E4B62">
        <w:trPr>
          <w:trHeight w:val="314"/>
        </w:trPr>
        <w:tc>
          <w:tcPr>
            <w:tcW w:w="2900" w:type="dxa"/>
          </w:tcPr>
          <w:p w14:paraId="34F43C0F" w14:textId="77777777" w:rsidR="00AF3B35" w:rsidRDefault="00AF3B35" w:rsidP="007E4B62">
            <w:proofErr w:type="spellStart"/>
            <w:r>
              <w:t>PartitionKey</w:t>
            </w:r>
            <w:proofErr w:type="spellEnd"/>
          </w:p>
        </w:tc>
        <w:tc>
          <w:tcPr>
            <w:tcW w:w="1318" w:type="dxa"/>
          </w:tcPr>
          <w:p w14:paraId="18B0D1A9" w14:textId="77777777" w:rsidR="00AF3B35" w:rsidRDefault="00AF3B35" w:rsidP="007E4B62">
            <w:pPr>
              <w:jc w:val="center"/>
            </w:pPr>
            <w:r>
              <w:t>Yes</w:t>
            </w:r>
          </w:p>
        </w:tc>
        <w:tc>
          <w:tcPr>
            <w:tcW w:w="6572" w:type="dxa"/>
          </w:tcPr>
          <w:p w14:paraId="526806F0" w14:textId="7D0169B3" w:rsidR="00AF3B35" w:rsidRDefault="00AF3B35" w:rsidP="00AF3B35">
            <w:r>
              <w:t>This should always be “</w:t>
            </w:r>
            <w:proofErr w:type="spellStart"/>
            <w:r>
              <w:t>timezone</w:t>
            </w:r>
            <w:proofErr w:type="spellEnd"/>
            <w:r>
              <w:t>”, there is no need to partition this small amount of data.</w:t>
            </w:r>
            <w:r>
              <w:br/>
            </w:r>
          </w:p>
        </w:tc>
      </w:tr>
      <w:tr w:rsidR="00AF3B35" w14:paraId="1A922A3F" w14:textId="77777777" w:rsidTr="007E4B62">
        <w:tc>
          <w:tcPr>
            <w:tcW w:w="2900" w:type="dxa"/>
          </w:tcPr>
          <w:p w14:paraId="37DFEF2D" w14:textId="77777777" w:rsidR="00AF3B35" w:rsidRDefault="00AF3B35" w:rsidP="007E4B62">
            <w:proofErr w:type="spellStart"/>
            <w:r>
              <w:t>RowKey</w:t>
            </w:r>
            <w:proofErr w:type="spellEnd"/>
          </w:p>
        </w:tc>
        <w:tc>
          <w:tcPr>
            <w:tcW w:w="1318" w:type="dxa"/>
          </w:tcPr>
          <w:p w14:paraId="24E7627F" w14:textId="77777777" w:rsidR="00AF3B35" w:rsidRDefault="00AF3B35" w:rsidP="007E4B62">
            <w:pPr>
              <w:jc w:val="center"/>
            </w:pPr>
            <w:r>
              <w:t>Yes</w:t>
            </w:r>
          </w:p>
        </w:tc>
        <w:tc>
          <w:tcPr>
            <w:tcW w:w="6572" w:type="dxa"/>
          </w:tcPr>
          <w:p w14:paraId="5BBA711C" w14:textId="3DA3B382" w:rsidR="00AF3B35" w:rsidRDefault="00AF3B35" w:rsidP="00AF3B35">
            <w:r>
              <w:t>This should be the code for the Azure region, ex. “</w:t>
            </w:r>
            <w:proofErr w:type="spellStart"/>
            <w:r>
              <w:t>eastus</w:t>
            </w:r>
            <w:proofErr w:type="spellEnd"/>
            <w:r>
              <w:t>”.</w:t>
            </w:r>
            <w:r>
              <w:br/>
            </w:r>
          </w:p>
        </w:tc>
      </w:tr>
      <w:tr w:rsidR="00AF3B35" w14:paraId="7E2BD727" w14:textId="77777777" w:rsidTr="007E4B62">
        <w:tc>
          <w:tcPr>
            <w:tcW w:w="2900" w:type="dxa"/>
          </w:tcPr>
          <w:p w14:paraId="746B7C04" w14:textId="0F97D084" w:rsidR="00AF3B35" w:rsidRDefault="00AF3B35" w:rsidP="007E4B62">
            <w:r>
              <w:t>Location</w:t>
            </w:r>
          </w:p>
        </w:tc>
        <w:tc>
          <w:tcPr>
            <w:tcW w:w="1318" w:type="dxa"/>
          </w:tcPr>
          <w:p w14:paraId="5A818A15" w14:textId="4AE2CD26" w:rsidR="00AF3B35" w:rsidRDefault="00AF3B35" w:rsidP="007E4B62">
            <w:pPr>
              <w:jc w:val="center"/>
            </w:pPr>
            <w:r>
              <w:t>No</w:t>
            </w:r>
          </w:p>
        </w:tc>
        <w:tc>
          <w:tcPr>
            <w:tcW w:w="6572" w:type="dxa"/>
          </w:tcPr>
          <w:p w14:paraId="369B1F5F" w14:textId="7B98CE65" w:rsidR="00AF3B35" w:rsidRDefault="00AF3B35" w:rsidP="007E4B62">
            <w:r>
              <w:t>This is the code that was used by the Azure Classic APIs. It is not used in this Azure Resource Manager solution.</w:t>
            </w:r>
          </w:p>
          <w:p w14:paraId="780F4DE2" w14:textId="77777777" w:rsidR="00AF3B35" w:rsidRPr="00681ECD" w:rsidRDefault="00AF3B35" w:rsidP="007E4B62">
            <w:pPr>
              <w:rPr>
                <w:rFonts w:ascii="Times New Roman" w:eastAsia="Times New Roman" w:hAnsi="Times New Roman" w:cs="Times New Roman"/>
              </w:rPr>
            </w:pPr>
          </w:p>
        </w:tc>
      </w:tr>
      <w:tr w:rsidR="00AF3B35" w14:paraId="06F606E4" w14:textId="77777777" w:rsidTr="007E4B62">
        <w:tc>
          <w:tcPr>
            <w:tcW w:w="2900" w:type="dxa"/>
          </w:tcPr>
          <w:p w14:paraId="79DE2DB8" w14:textId="77777777" w:rsidR="00AF3B35" w:rsidRDefault="00AF3B35" w:rsidP="007E4B62">
            <w:r>
              <w:t>Timestamp</w:t>
            </w:r>
          </w:p>
        </w:tc>
        <w:tc>
          <w:tcPr>
            <w:tcW w:w="1318" w:type="dxa"/>
          </w:tcPr>
          <w:p w14:paraId="5B8CEE4B" w14:textId="77777777" w:rsidR="00AF3B35" w:rsidRDefault="00AF3B35" w:rsidP="007E4B62">
            <w:pPr>
              <w:jc w:val="center"/>
            </w:pPr>
            <w:r>
              <w:t>Automatic</w:t>
            </w:r>
          </w:p>
        </w:tc>
        <w:tc>
          <w:tcPr>
            <w:tcW w:w="6572" w:type="dxa"/>
          </w:tcPr>
          <w:p w14:paraId="489E963A" w14:textId="77777777" w:rsidR="00AF3B35" w:rsidRDefault="00AF3B35" w:rsidP="007E4B62">
            <w:r>
              <w:t>This is an field that is automatically populated with the timestamp that this rule last was created or modified.</w:t>
            </w:r>
            <w:r>
              <w:br/>
            </w:r>
          </w:p>
        </w:tc>
      </w:tr>
      <w:tr w:rsidR="00AF3B35" w14:paraId="0F7D7075" w14:textId="77777777" w:rsidTr="007E4B62">
        <w:tc>
          <w:tcPr>
            <w:tcW w:w="2900" w:type="dxa"/>
          </w:tcPr>
          <w:p w14:paraId="779872E8" w14:textId="5A4FE589" w:rsidR="00AF3B35" w:rsidRDefault="00AF3B35" w:rsidP="007E4B62">
            <w:proofErr w:type="spellStart"/>
            <w:r>
              <w:t>Timezone</w:t>
            </w:r>
            <w:proofErr w:type="spellEnd"/>
          </w:p>
        </w:tc>
        <w:tc>
          <w:tcPr>
            <w:tcW w:w="1318" w:type="dxa"/>
          </w:tcPr>
          <w:p w14:paraId="2E7D21D2" w14:textId="4E5D99E2" w:rsidR="00AF3B35" w:rsidRDefault="00AF3B35" w:rsidP="007E4B62">
            <w:pPr>
              <w:jc w:val="center"/>
            </w:pPr>
            <w:r>
              <w:t>Yes</w:t>
            </w:r>
          </w:p>
        </w:tc>
        <w:tc>
          <w:tcPr>
            <w:tcW w:w="6572" w:type="dxa"/>
          </w:tcPr>
          <w:p w14:paraId="118752BA" w14:textId="67EE8EAC" w:rsidR="00AF3B35" w:rsidRDefault="00AF3B35" w:rsidP="007E4B62">
            <w:r>
              <w:t>This should be the time zone name used by Windows to describe the time zone that should be used for the region code. For example, the Azure region code of “</w:t>
            </w:r>
            <w:proofErr w:type="spellStart"/>
            <w:r>
              <w:t>eastus</w:t>
            </w:r>
            <w:proofErr w:type="spellEnd"/>
            <w:r>
              <w:t>” is in the “Eastern Standard Time” time zone.</w:t>
            </w:r>
            <w:r>
              <w:br/>
            </w:r>
          </w:p>
        </w:tc>
      </w:tr>
    </w:tbl>
    <w:p w14:paraId="6ABA74E6" w14:textId="77777777" w:rsidR="00AF3B35" w:rsidRDefault="00AF3B35" w:rsidP="009E71F3"/>
    <w:p w14:paraId="216F7063" w14:textId="32751D24" w:rsidR="004252BE" w:rsidRDefault="004252BE" w:rsidP="004252BE">
      <w:pPr>
        <w:pStyle w:val="Heading1"/>
      </w:pPr>
      <w:r>
        <w:t>6.0.0 Logging Table</w:t>
      </w:r>
    </w:p>
    <w:p w14:paraId="4B3745CE" w14:textId="51EBC286" w:rsidR="004252BE" w:rsidRDefault="004252BE" w:rsidP="004252BE">
      <w:r>
        <w:t>There is a logging table contained in an Azure SQL Database:</w:t>
      </w:r>
    </w:p>
    <w:p w14:paraId="227DC063" w14:textId="77777777" w:rsidR="004252BE" w:rsidRDefault="004252BE" w:rsidP="004252BE"/>
    <w:tbl>
      <w:tblPr>
        <w:tblStyle w:val="TableGrid"/>
        <w:tblW w:w="0" w:type="auto"/>
        <w:tblLook w:val="04A0" w:firstRow="1" w:lastRow="0" w:firstColumn="1" w:lastColumn="0" w:noHBand="0" w:noVBand="1"/>
      </w:tblPr>
      <w:tblGrid>
        <w:gridCol w:w="5395"/>
        <w:gridCol w:w="5395"/>
      </w:tblGrid>
      <w:tr w:rsidR="004252BE" w14:paraId="04D17AD7" w14:textId="77777777" w:rsidTr="007E4B62">
        <w:tc>
          <w:tcPr>
            <w:tcW w:w="5395" w:type="dxa"/>
          </w:tcPr>
          <w:p w14:paraId="4D4A538E" w14:textId="77777777" w:rsidR="004252BE" w:rsidRDefault="004252BE" w:rsidP="007E4B62">
            <w:r>
              <w:t>Subscription</w:t>
            </w:r>
          </w:p>
        </w:tc>
        <w:tc>
          <w:tcPr>
            <w:tcW w:w="5395" w:type="dxa"/>
          </w:tcPr>
          <w:p w14:paraId="37745444" w14:textId="0D803673" w:rsidR="004252BE" w:rsidRDefault="004252BE" w:rsidP="007E4B62"/>
        </w:tc>
      </w:tr>
      <w:tr w:rsidR="004252BE" w14:paraId="42CC3723" w14:textId="77777777" w:rsidTr="007E4B62">
        <w:trPr>
          <w:trHeight w:val="314"/>
        </w:trPr>
        <w:tc>
          <w:tcPr>
            <w:tcW w:w="5395" w:type="dxa"/>
          </w:tcPr>
          <w:p w14:paraId="73623E2E" w14:textId="77777777" w:rsidR="004252BE" w:rsidRDefault="004252BE" w:rsidP="007E4B62">
            <w:r>
              <w:t>Resource Group</w:t>
            </w:r>
          </w:p>
        </w:tc>
        <w:tc>
          <w:tcPr>
            <w:tcW w:w="5395" w:type="dxa"/>
          </w:tcPr>
          <w:p w14:paraId="1AF84DC5" w14:textId="0AB59EA4" w:rsidR="004252BE" w:rsidRDefault="004252BE" w:rsidP="007E4B62"/>
        </w:tc>
      </w:tr>
      <w:tr w:rsidR="004252BE" w14:paraId="4E991B9A" w14:textId="77777777" w:rsidTr="007E4B62">
        <w:tc>
          <w:tcPr>
            <w:tcW w:w="5395" w:type="dxa"/>
          </w:tcPr>
          <w:p w14:paraId="2F6C18E0" w14:textId="77777777" w:rsidR="004252BE" w:rsidRDefault="004252BE" w:rsidP="007E4B62">
            <w:r>
              <w:t>Location</w:t>
            </w:r>
          </w:p>
        </w:tc>
        <w:tc>
          <w:tcPr>
            <w:tcW w:w="5395" w:type="dxa"/>
          </w:tcPr>
          <w:p w14:paraId="61031713" w14:textId="7493AA47" w:rsidR="004252BE" w:rsidRDefault="004252BE" w:rsidP="007E4B62"/>
        </w:tc>
      </w:tr>
      <w:tr w:rsidR="004252BE" w14:paraId="0FA6E5D3" w14:textId="77777777" w:rsidTr="007E4B62">
        <w:tc>
          <w:tcPr>
            <w:tcW w:w="5395" w:type="dxa"/>
          </w:tcPr>
          <w:p w14:paraId="62C4CBC5" w14:textId="7CE57FFB" w:rsidR="004252BE" w:rsidRDefault="004252BE" w:rsidP="007E4B62">
            <w:r>
              <w:t>Azure SQL Server</w:t>
            </w:r>
          </w:p>
        </w:tc>
        <w:tc>
          <w:tcPr>
            <w:tcW w:w="5395" w:type="dxa"/>
          </w:tcPr>
          <w:p w14:paraId="32CA22D4" w14:textId="5FF8688B" w:rsidR="004252BE" w:rsidRDefault="004252BE" w:rsidP="007E4B62"/>
        </w:tc>
      </w:tr>
      <w:tr w:rsidR="004252BE" w14:paraId="34700391" w14:textId="77777777" w:rsidTr="007E4B62">
        <w:tc>
          <w:tcPr>
            <w:tcW w:w="5395" w:type="dxa"/>
          </w:tcPr>
          <w:p w14:paraId="3FE06108" w14:textId="491BAA66" w:rsidR="004252BE" w:rsidRDefault="004252BE" w:rsidP="007E4B62">
            <w:r>
              <w:t>Azure SQL Database</w:t>
            </w:r>
          </w:p>
        </w:tc>
        <w:tc>
          <w:tcPr>
            <w:tcW w:w="5395" w:type="dxa"/>
          </w:tcPr>
          <w:p w14:paraId="1DF75476" w14:textId="57CF74FC" w:rsidR="004252BE" w:rsidRDefault="004252BE" w:rsidP="007E4B62"/>
        </w:tc>
      </w:tr>
      <w:tr w:rsidR="00B8733D" w14:paraId="28B77ED8" w14:textId="77777777" w:rsidTr="007E4B62">
        <w:tc>
          <w:tcPr>
            <w:tcW w:w="5395" w:type="dxa"/>
          </w:tcPr>
          <w:p w14:paraId="69E8A70D" w14:textId="2289F013" w:rsidR="00B8733D" w:rsidRDefault="00B8733D" w:rsidP="007E4B62">
            <w:r>
              <w:t>Table</w:t>
            </w:r>
          </w:p>
        </w:tc>
        <w:tc>
          <w:tcPr>
            <w:tcW w:w="5395" w:type="dxa"/>
          </w:tcPr>
          <w:p w14:paraId="1D5D8B58" w14:textId="5AAABFEB" w:rsidR="00B8733D" w:rsidRDefault="0006464E" w:rsidP="007E4B62">
            <w:proofErr w:type="spellStart"/>
            <w:r>
              <w:t>ShutdownLog</w:t>
            </w:r>
            <w:proofErr w:type="spellEnd"/>
          </w:p>
        </w:tc>
      </w:tr>
    </w:tbl>
    <w:p w14:paraId="641A8941" w14:textId="77777777" w:rsidR="004252BE" w:rsidRDefault="004252BE" w:rsidP="004252BE"/>
    <w:p w14:paraId="6910722E" w14:textId="47DB4A81" w:rsidR="004252BE" w:rsidRDefault="00897584" w:rsidP="004252BE">
      <w:pPr>
        <w:pStyle w:val="Heading2"/>
      </w:pPr>
      <w:r>
        <w:t>6</w:t>
      </w:r>
      <w:r w:rsidR="004252BE">
        <w:t xml:space="preserve">.1.0 </w:t>
      </w:r>
      <w:proofErr w:type="spellStart"/>
      <w:r w:rsidR="0006464E">
        <w:t>ShutdownLog</w:t>
      </w:r>
      <w:proofErr w:type="spellEnd"/>
    </w:p>
    <w:p w14:paraId="1FC9C850" w14:textId="659EC659" w:rsidR="00AF3B35" w:rsidRDefault="0006464E" w:rsidP="004252BE">
      <w:r>
        <w:t>The</w:t>
      </w:r>
      <w:r w:rsidR="00E23F69">
        <w:t xml:space="preserve"> shutdown script will log all activity to the </w:t>
      </w:r>
      <w:proofErr w:type="spellStart"/>
      <w:r>
        <w:t>Shu</w:t>
      </w:r>
      <w:r w:rsidR="00E23F69">
        <w:t>tdownLog</w:t>
      </w:r>
      <w:proofErr w:type="spellEnd"/>
      <w:r w:rsidR="00E23F69">
        <w:t xml:space="preserve"> table. There should be a log entry for any VM that was within the shutdown window. The following status messages will be logged:</w:t>
      </w:r>
    </w:p>
    <w:p w14:paraId="1F55CC87" w14:textId="7DF807EC" w:rsidR="008114B2" w:rsidRDefault="008114B2" w:rsidP="00E23F69">
      <w:pPr>
        <w:pStyle w:val="ListParagraph"/>
        <w:numPr>
          <w:ilvl w:val="0"/>
          <w:numId w:val="6"/>
        </w:numPr>
      </w:pPr>
      <w:r>
        <w:lastRenderedPageBreak/>
        <w:t>successfully shutdown</w:t>
      </w:r>
    </w:p>
    <w:p w14:paraId="54B3FB7A" w14:textId="4AF0AA9D" w:rsidR="008114B2" w:rsidRDefault="008114B2" w:rsidP="00E23F69">
      <w:pPr>
        <w:pStyle w:val="ListParagraph"/>
        <w:numPr>
          <w:ilvl w:val="0"/>
          <w:numId w:val="6"/>
        </w:numPr>
      </w:pPr>
      <w:r>
        <w:t>ignored, already shutdown</w:t>
      </w:r>
    </w:p>
    <w:p w14:paraId="7E74BE70" w14:textId="41BA337B" w:rsidR="008114B2" w:rsidRDefault="008114B2" w:rsidP="008114B2">
      <w:pPr>
        <w:pStyle w:val="ListParagraph"/>
        <w:numPr>
          <w:ilvl w:val="0"/>
          <w:numId w:val="6"/>
        </w:numPr>
      </w:pPr>
      <w:r>
        <w:t>ignored, in grace period</w:t>
      </w:r>
    </w:p>
    <w:p w14:paraId="172C2119" w14:textId="77777777" w:rsidR="008114B2" w:rsidRDefault="008114B2" w:rsidP="008114B2"/>
    <w:p w14:paraId="44AB0091" w14:textId="69995873" w:rsidR="008114B2" w:rsidRDefault="008114B2" w:rsidP="008114B2">
      <w:r>
        <w:t>VMs that are not within the shutdown window are not logged as this would create a lot of noise in the logs.</w:t>
      </w:r>
    </w:p>
    <w:p w14:paraId="48E679FF" w14:textId="77777777" w:rsidR="007E4B62" w:rsidRDefault="007E4B62" w:rsidP="004252BE"/>
    <w:tbl>
      <w:tblPr>
        <w:tblStyle w:val="GridTable4-Accent1"/>
        <w:tblW w:w="0" w:type="auto"/>
        <w:tblLook w:val="0620" w:firstRow="1" w:lastRow="0" w:firstColumn="0" w:lastColumn="0" w:noHBand="1" w:noVBand="1"/>
      </w:tblPr>
      <w:tblGrid>
        <w:gridCol w:w="2900"/>
        <w:gridCol w:w="1318"/>
        <w:gridCol w:w="6572"/>
      </w:tblGrid>
      <w:tr w:rsidR="007E4B62" w14:paraId="7201927C" w14:textId="77777777" w:rsidTr="007E4B62">
        <w:trPr>
          <w:cnfStyle w:val="100000000000" w:firstRow="1" w:lastRow="0" w:firstColumn="0" w:lastColumn="0" w:oddVBand="0" w:evenVBand="0" w:oddHBand="0" w:evenHBand="0" w:firstRowFirstColumn="0" w:firstRowLastColumn="0" w:lastRowFirstColumn="0" w:lastRowLastColumn="0"/>
        </w:trPr>
        <w:tc>
          <w:tcPr>
            <w:tcW w:w="2900" w:type="dxa"/>
          </w:tcPr>
          <w:p w14:paraId="613C10A6" w14:textId="77777777" w:rsidR="007E4B62" w:rsidRDefault="007E4B62" w:rsidP="007E4B62">
            <w:r>
              <w:t>Column</w:t>
            </w:r>
          </w:p>
        </w:tc>
        <w:tc>
          <w:tcPr>
            <w:tcW w:w="1318" w:type="dxa"/>
          </w:tcPr>
          <w:p w14:paraId="5857AB56" w14:textId="77777777" w:rsidR="007E4B62" w:rsidRDefault="007E4B62" w:rsidP="007E4B62">
            <w:r>
              <w:t>Required?</w:t>
            </w:r>
          </w:p>
        </w:tc>
        <w:tc>
          <w:tcPr>
            <w:tcW w:w="6572" w:type="dxa"/>
          </w:tcPr>
          <w:p w14:paraId="3654E5D3" w14:textId="77777777" w:rsidR="007E4B62" w:rsidRDefault="007E4B62" w:rsidP="007E4B62">
            <w:r>
              <w:t>Description</w:t>
            </w:r>
          </w:p>
        </w:tc>
      </w:tr>
      <w:tr w:rsidR="007E4B62" w14:paraId="1905842D" w14:textId="77777777" w:rsidTr="007E4B62">
        <w:trPr>
          <w:trHeight w:val="314"/>
        </w:trPr>
        <w:tc>
          <w:tcPr>
            <w:tcW w:w="2900" w:type="dxa"/>
          </w:tcPr>
          <w:p w14:paraId="415DA026" w14:textId="761F7E8A" w:rsidR="007E4B62" w:rsidRDefault="00E23F69" w:rsidP="007E4B62">
            <w:r>
              <w:t>Timestamp</w:t>
            </w:r>
          </w:p>
        </w:tc>
        <w:tc>
          <w:tcPr>
            <w:tcW w:w="1318" w:type="dxa"/>
          </w:tcPr>
          <w:p w14:paraId="3FD5AA72" w14:textId="77777777" w:rsidR="007E4B62" w:rsidRDefault="007E4B62" w:rsidP="007E4B62">
            <w:pPr>
              <w:jc w:val="center"/>
            </w:pPr>
            <w:r>
              <w:t>Yes</w:t>
            </w:r>
          </w:p>
        </w:tc>
        <w:tc>
          <w:tcPr>
            <w:tcW w:w="6572" w:type="dxa"/>
          </w:tcPr>
          <w:p w14:paraId="02F8ACB0" w14:textId="578505B0" w:rsidR="007E4B62" w:rsidRDefault="00E23F69" w:rsidP="007E4B62">
            <w:r>
              <w:t>This will be the timestamp in UTC when the activity being logged was performed.</w:t>
            </w:r>
            <w:r w:rsidR="007E4B62">
              <w:br/>
            </w:r>
          </w:p>
        </w:tc>
      </w:tr>
      <w:tr w:rsidR="007E4B62" w14:paraId="3904D552" w14:textId="77777777" w:rsidTr="007E4B62">
        <w:tc>
          <w:tcPr>
            <w:tcW w:w="2900" w:type="dxa"/>
          </w:tcPr>
          <w:p w14:paraId="03AC7A96" w14:textId="73ED3B63" w:rsidR="007E4B62" w:rsidRDefault="00E23F69" w:rsidP="007E4B62">
            <w:proofErr w:type="spellStart"/>
            <w:r>
              <w:t>RuleId</w:t>
            </w:r>
            <w:proofErr w:type="spellEnd"/>
          </w:p>
        </w:tc>
        <w:tc>
          <w:tcPr>
            <w:tcW w:w="1318" w:type="dxa"/>
          </w:tcPr>
          <w:p w14:paraId="0AE77482" w14:textId="77777777" w:rsidR="007E4B62" w:rsidRDefault="007E4B62" w:rsidP="007E4B62">
            <w:pPr>
              <w:jc w:val="center"/>
            </w:pPr>
            <w:r>
              <w:t>Yes</w:t>
            </w:r>
          </w:p>
        </w:tc>
        <w:tc>
          <w:tcPr>
            <w:tcW w:w="6572" w:type="dxa"/>
          </w:tcPr>
          <w:p w14:paraId="6C6D528D" w14:textId="30F8AD07" w:rsidR="007E4B62" w:rsidRDefault="00E23F69" w:rsidP="007E4B62">
            <w:r>
              <w:t>This will be the name of the Rule (</w:t>
            </w:r>
            <w:proofErr w:type="spellStart"/>
            <w:r>
              <w:t>RowKey</w:t>
            </w:r>
            <w:proofErr w:type="spellEnd"/>
            <w:r>
              <w:t xml:space="preserve"> from Section 5.1.0) that was the highest priority rule affecting this activity.</w:t>
            </w:r>
            <w:r>
              <w:br/>
            </w:r>
          </w:p>
        </w:tc>
      </w:tr>
      <w:tr w:rsidR="007E4B62" w14:paraId="070FBB64" w14:textId="77777777" w:rsidTr="007E4B62">
        <w:tc>
          <w:tcPr>
            <w:tcW w:w="2900" w:type="dxa"/>
          </w:tcPr>
          <w:p w14:paraId="09788C6D" w14:textId="434DC53C" w:rsidR="007E4B62" w:rsidRDefault="00E23F69" w:rsidP="007E4B62">
            <w:proofErr w:type="spellStart"/>
            <w:r>
              <w:t>SubscriptionId</w:t>
            </w:r>
            <w:proofErr w:type="spellEnd"/>
          </w:p>
        </w:tc>
        <w:tc>
          <w:tcPr>
            <w:tcW w:w="1318" w:type="dxa"/>
          </w:tcPr>
          <w:p w14:paraId="70AFD8B5" w14:textId="1B6E5536" w:rsidR="007E4B62" w:rsidRDefault="00E23F69" w:rsidP="007E4B62">
            <w:pPr>
              <w:jc w:val="center"/>
            </w:pPr>
            <w:r>
              <w:t>Yes</w:t>
            </w:r>
          </w:p>
        </w:tc>
        <w:tc>
          <w:tcPr>
            <w:tcW w:w="6572" w:type="dxa"/>
          </w:tcPr>
          <w:p w14:paraId="251990EA" w14:textId="320E4131" w:rsidR="007E4B62" w:rsidRDefault="008114B2" w:rsidP="007E4B62">
            <w:r>
              <w:t xml:space="preserve">This is the ID of the Azure Subscription containing the </w:t>
            </w:r>
            <w:r w:rsidR="00A04A1C">
              <w:t>VM that reported this activity.</w:t>
            </w:r>
          </w:p>
          <w:p w14:paraId="60D92FE8" w14:textId="77777777" w:rsidR="007E4B62" w:rsidRPr="00681ECD" w:rsidRDefault="007E4B62" w:rsidP="007E4B62">
            <w:pPr>
              <w:rPr>
                <w:rFonts w:ascii="Times New Roman" w:eastAsia="Times New Roman" w:hAnsi="Times New Roman" w:cs="Times New Roman"/>
              </w:rPr>
            </w:pPr>
          </w:p>
        </w:tc>
      </w:tr>
      <w:tr w:rsidR="007E4B62" w14:paraId="5BDAAF05" w14:textId="77777777" w:rsidTr="007E4B62">
        <w:tc>
          <w:tcPr>
            <w:tcW w:w="2900" w:type="dxa"/>
          </w:tcPr>
          <w:p w14:paraId="01949238" w14:textId="6DDB02BF" w:rsidR="007E4B62" w:rsidRDefault="00E23F69" w:rsidP="007E4B62">
            <w:r>
              <w:t>Region</w:t>
            </w:r>
          </w:p>
        </w:tc>
        <w:tc>
          <w:tcPr>
            <w:tcW w:w="1318" w:type="dxa"/>
          </w:tcPr>
          <w:p w14:paraId="3BBA2C3C" w14:textId="74803F97" w:rsidR="007E4B62" w:rsidRDefault="00E23F69" w:rsidP="007E4B62">
            <w:pPr>
              <w:jc w:val="center"/>
            </w:pPr>
            <w:r>
              <w:t>Yes</w:t>
            </w:r>
          </w:p>
        </w:tc>
        <w:tc>
          <w:tcPr>
            <w:tcW w:w="6572" w:type="dxa"/>
          </w:tcPr>
          <w:p w14:paraId="48E39226" w14:textId="0A0E1F05" w:rsidR="00A04A1C" w:rsidRDefault="00A04A1C" w:rsidP="00A04A1C">
            <w:r>
              <w:t>This is the Azure Region code containing the VM that reported this activity.</w:t>
            </w:r>
          </w:p>
          <w:p w14:paraId="703FD4FC" w14:textId="41E6C726" w:rsidR="007E4B62" w:rsidRDefault="007E4B62" w:rsidP="007E4B62"/>
        </w:tc>
      </w:tr>
      <w:tr w:rsidR="007E4B62" w14:paraId="744652E1" w14:textId="77777777" w:rsidTr="007E4B62">
        <w:tc>
          <w:tcPr>
            <w:tcW w:w="2900" w:type="dxa"/>
          </w:tcPr>
          <w:p w14:paraId="6F794D2C" w14:textId="13B5A55A" w:rsidR="007E4B62" w:rsidRDefault="00E23F69" w:rsidP="007E4B62">
            <w:r>
              <w:t>VM</w:t>
            </w:r>
          </w:p>
        </w:tc>
        <w:tc>
          <w:tcPr>
            <w:tcW w:w="1318" w:type="dxa"/>
          </w:tcPr>
          <w:p w14:paraId="1B928294" w14:textId="77777777" w:rsidR="007E4B62" w:rsidRDefault="007E4B62" w:rsidP="007E4B62">
            <w:pPr>
              <w:jc w:val="center"/>
            </w:pPr>
            <w:r>
              <w:t>Yes</w:t>
            </w:r>
          </w:p>
        </w:tc>
        <w:tc>
          <w:tcPr>
            <w:tcW w:w="6572" w:type="dxa"/>
          </w:tcPr>
          <w:p w14:paraId="5EA82954" w14:textId="720A2F94" w:rsidR="007E4B62" w:rsidRDefault="00A04A1C" w:rsidP="00A04A1C">
            <w:r>
              <w:t>This is the name of the VM that reported this activity.</w:t>
            </w:r>
            <w:r w:rsidR="007E4B62">
              <w:br/>
            </w:r>
          </w:p>
        </w:tc>
      </w:tr>
      <w:tr w:rsidR="00E23F69" w14:paraId="1117BBD1" w14:textId="77777777" w:rsidTr="00110D7C">
        <w:trPr>
          <w:trHeight w:val="899"/>
        </w:trPr>
        <w:tc>
          <w:tcPr>
            <w:tcW w:w="2900" w:type="dxa"/>
          </w:tcPr>
          <w:p w14:paraId="147D84B0" w14:textId="568CEBDC" w:rsidR="00E23F69" w:rsidRDefault="00E23F69" w:rsidP="007E4B62">
            <w:r>
              <w:t>Status</w:t>
            </w:r>
          </w:p>
        </w:tc>
        <w:tc>
          <w:tcPr>
            <w:tcW w:w="1318" w:type="dxa"/>
          </w:tcPr>
          <w:p w14:paraId="2E581760" w14:textId="77147B10" w:rsidR="00E23F69" w:rsidRDefault="00E23F69" w:rsidP="007E4B62">
            <w:pPr>
              <w:jc w:val="center"/>
            </w:pPr>
            <w:r>
              <w:t>Yes</w:t>
            </w:r>
          </w:p>
        </w:tc>
        <w:tc>
          <w:tcPr>
            <w:tcW w:w="6572" w:type="dxa"/>
          </w:tcPr>
          <w:p w14:paraId="048583A3" w14:textId="25BDF736" w:rsidR="00E23F69" w:rsidRDefault="00A04A1C" w:rsidP="007E4B62">
            <w:r>
              <w:t>This is the status message explaining what happened when the VM was asked to shut down. You can see those messages above.</w:t>
            </w:r>
            <w:r>
              <w:br/>
            </w:r>
          </w:p>
        </w:tc>
      </w:tr>
    </w:tbl>
    <w:p w14:paraId="08DEAA68" w14:textId="77777777" w:rsidR="007E4B62" w:rsidRDefault="007E4B62" w:rsidP="004252BE">
      <w:bookmarkStart w:id="0" w:name="_GoBack"/>
      <w:bookmarkEnd w:id="0"/>
    </w:p>
    <w:p w14:paraId="75B7A34B" w14:textId="0912B877" w:rsidR="00897584" w:rsidRDefault="00897584" w:rsidP="004252BE">
      <w:pPr>
        <w:rPr>
          <w:color w:val="FF0000"/>
        </w:rPr>
      </w:pPr>
      <w:r w:rsidRPr="00897584">
        <w:rPr>
          <w:color w:val="FF0000"/>
        </w:rPr>
        <w:t xml:space="preserve">Currently none of the jobs clean data out of the </w:t>
      </w:r>
      <w:proofErr w:type="spellStart"/>
      <w:r w:rsidRPr="00897584">
        <w:rPr>
          <w:color w:val="FF0000"/>
        </w:rPr>
        <w:t>ShutdownLog</w:t>
      </w:r>
      <w:proofErr w:type="spellEnd"/>
      <w:r w:rsidRPr="00897584">
        <w:rPr>
          <w:color w:val="FF0000"/>
        </w:rPr>
        <w:t xml:space="preserve"> table, but it is likely this data does not need to retain forever.</w:t>
      </w:r>
    </w:p>
    <w:p w14:paraId="06CDF0FC" w14:textId="5EE0BC67" w:rsidR="00C509A9" w:rsidRDefault="00C509A9" w:rsidP="00C509A9">
      <w:pPr>
        <w:pStyle w:val="Heading1"/>
      </w:pPr>
      <w:r w:rsidRPr="00C509A9">
        <w:t>7.0.0</w:t>
      </w:r>
      <w:r>
        <w:t xml:space="preserve"> </w:t>
      </w:r>
      <w:proofErr w:type="spellStart"/>
      <w:r>
        <w:t>SendGrid</w:t>
      </w:r>
      <w:proofErr w:type="spellEnd"/>
    </w:p>
    <w:p w14:paraId="6BA97454" w14:textId="5F81B5A2" w:rsidR="00C509A9" w:rsidRDefault="00C509A9" w:rsidP="00C509A9">
      <w:r>
        <w:t>The “email-shutdown-logs” script</w:t>
      </w:r>
      <w:r w:rsidR="00624B38">
        <w:t xml:space="preserve"> must send email messages to the administrators of the server once a day. Microsoft does not provide SMTP capability in Azure, but a 3</w:t>
      </w:r>
      <w:r w:rsidR="00624B38" w:rsidRPr="00624B38">
        <w:rPr>
          <w:vertAlign w:val="superscript"/>
        </w:rPr>
        <w:t>rd</w:t>
      </w:r>
      <w:r w:rsidR="00624B38">
        <w:t xml:space="preserve"> party solution is provided via </w:t>
      </w:r>
      <w:proofErr w:type="spellStart"/>
      <w:r w:rsidR="00624B38">
        <w:t>SendGrid</w:t>
      </w:r>
      <w:proofErr w:type="spellEnd"/>
      <w:r w:rsidR="00624B38">
        <w:t>.</w:t>
      </w:r>
    </w:p>
    <w:p w14:paraId="0E21E391" w14:textId="77777777" w:rsidR="00624B38" w:rsidRDefault="00624B38" w:rsidP="00C509A9"/>
    <w:p w14:paraId="4523F1BD" w14:textId="6804EB51" w:rsidR="00624B38" w:rsidRDefault="00624B38" w:rsidP="00C509A9">
      <w:r>
        <w:t xml:space="preserve">Should </w:t>
      </w:r>
      <w:proofErr w:type="spellStart"/>
      <w:r>
        <w:t>SendGrid</w:t>
      </w:r>
      <w:proofErr w:type="spellEnd"/>
      <w:r>
        <w:t xml:space="preserve"> ever be changed to a pricing tier that costs something, that charge will bill as an “overage” charge (meaning </w:t>
      </w:r>
      <w:r w:rsidR="005824E1">
        <w:t xml:space="preserve">you </w:t>
      </w:r>
      <w:r>
        <w:t>will need to send money to Microsoft instead of the charges being deducted from the pre-commit).</w:t>
      </w:r>
    </w:p>
    <w:p w14:paraId="32295E79" w14:textId="77777777" w:rsidR="00624B38" w:rsidRDefault="00624B38" w:rsidP="00C509A9"/>
    <w:tbl>
      <w:tblPr>
        <w:tblStyle w:val="TableGrid"/>
        <w:tblW w:w="0" w:type="auto"/>
        <w:tblLook w:val="04A0" w:firstRow="1" w:lastRow="0" w:firstColumn="1" w:lastColumn="0" w:noHBand="0" w:noVBand="1"/>
      </w:tblPr>
      <w:tblGrid>
        <w:gridCol w:w="5395"/>
        <w:gridCol w:w="5395"/>
      </w:tblGrid>
      <w:tr w:rsidR="00624B38" w14:paraId="7AFC4B9F" w14:textId="77777777" w:rsidTr="000F65A2">
        <w:tc>
          <w:tcPr>
            <w:tcW w:w="5395" w:type="dxa"/>
          </w:tcPr>
          <w:p w14:paraId="1DF6DC21" w14:textId="77777777" w:rsidR="00624B38" w:rsidRDefault="00624B38" w:rsidP="000F65A2">
            <w:r>
              <w:t>Subscription</w:t>
            </w:r>
          </w:p>
        </w:tc>
        <w:tc>
          <w:tcPr>
            <w:tcW w:w="5395" w:type="dxa"/>
          </w:tcPr>
          <w:p w14:paraId="22679643" w14:textId="77777777" w:rsidR="00624B38" w:rsidRDefault="00624B38" w:rsidP="000F65A2">
            <w:r>
              <w:t>Corp Core Tools</w:t>
            </w:r>
            <w:r>
              <w:br/>
            </w:r>
            <w:r w:rsidRPr="005D4503">
              <w:t>ce74f56c-fc45-4a2a-aefa-fd2e041a7f77</w:t>
            </w:r>
          </w:p>
        </w:tc>
      </w:tr>
      <w:tr w:rsidR="00624B38" w14:paraId="1D01A957" w14:textId="77777777" w:rsidTr="000F65A2">
        <w:trPr>
          <w:trHeight w:val="314"/>
        </w:trPr>
        <w:tc>
          <w:tcPr>
            <w:tcW w:w="5395" w:type="dxa"/>
          </w:tcPr>
          <w:p w14:paraId="3BEE174F" w14:textId="77777777" w:rsidR="00624B38" w:rsidRDefault="00624B38" w:rsidP="000F65A2">
            <w:r>
              <w:t>Resource Group</w:t>
            </w:r>
          </w:p>
        </w:tc>
        <w:tc>
          <w:tcPr>
            <w:tcW w:w="5395" w:type="dxa"/>
          </w:tcPr>
          <w:p w14:paraId="380117FA" w14:textId="2D72A0E8" w:rsidR="00624B38" w:rsidRDefault="00624B38" w:rsidP="000F65A2">
            <w:proofErr w:type="spellStart"/>
            <w:r>
              <w:t>pgessendgrid</w:t>
            </w:r>
            <w:proofErr w:type="spellEnd"/>
          </w:p>
        </w:tc>
      </w:tr>
      <w:tr w:rsidR="00624B38" w14:paraId="375EE79E" w14:textId="77777777" w:rsidTr="00624B38">
        <w:trPr>
          <w:trHeight w:val="332"/>
        </w:trPr>
        <w:tc>
          <w:tcPr>
            <w:tcW w:w="5395" w:type="dxa"/>
          </w:tcPr>
          <w:p w14:paraId="63CA2813" w14:textId="77777777" w:rsidR="00624B38" w:rsidRDefault="00624B38" w:rsidP="000F65A2">
            <w:r>
              <w:t>Location</w:t>
            </w:r>
          </w:p>
        </w:tc>
        <w:tc>
          <w:tcPr>
            <w:tcW w:w="5395" w:type="dxa"/>
          </w:tcPr>
          <w:p w14:paraId="5D7046F4" w14:textId="39289D02" w:rsidR="00624B38" w:rsidRDefault="00624B38" w:rsidP="000F65A2">
            <w:r>
              <w:t>Central US</w:t>
            </w:r>
          </w:p>
        </w:tc>
      </w:tr>
      <w:tr w:rsidR="00624B38" w14:paraId="4FBFD6F6" w14:textId="77777777" w:rsidTr="000F65A2">
        <w:tc>
          <w:tcPr>
            <w:tcW w:w="5395" w:type="dxa"/>
          </w:tcPr>
          <w:p w14:paraId="4EE85E3B" w14:textId="603777EB" w:rsidR="00624B38" w:rsidRDefault="00624B38" w:rsidP="000F65A2">
            <w:proofErr w:type="spellStart"/>
            <w:r>
              <w:t>SendGrid</w:t>
            </w:r>
            <w:proofErr w:type="spellEnd"/>
            <w:r>
              <w:t xml:space="preserve"> Account</w:t>
            </w:r>
          </w:p>
        </w:tc>
        <w:tc>
          <w:tcPr>
            <w:tcW w:w="5395" w:type="dxa"/>
          </w:tcPr>
          <w:p w14:paraId="4373E25D" w14:textId="7427E00E" w:rsidR="00624B38" w:rsidRDefault="00624B38" w:rsidP="000F65A2">
            <w:proofErr w:type="spellStart"/>
            <w:r>
              <w:t>pgessendgrid</w:t>
            </w:r>
            <w:proofErr w:type="spellEnd"/>
          </w:p>
        </w:tc>
      </w:tr>
      <w:tr w:rsidR="00624B38" w14:paraId="3E40BB75" w14:textId="77777777" w:rsidTr="000F65A2">
        <w:tc>
          <w:tcPr>
            <w:tcW w:w="5395" w:type="dxa"/>
          </w:tcPr>
          <w:p w14:paraId="0DA678A8" w14:textId="7897DA09" w:rsidR="00624B38" w:rsidRDefault="00624B38" w:rsidP="000F65A2">
            <w:r>
              <w:t>Pricing Tier</w:t>
            </w:r>
          </w:p>
        </w:tc>
        <w:tc>
          <w:tcPr>
            <w:tcW w:w="5395" w:type="dxa"/>
          </w:tcPr>
          <w:p w14:paraId="466F7DFA" w14:textId="16D334E3" w:rsidR="00624B38" w:rsidRDefault="00624B38" w:rsidP="000F65A2">
            <w:r>
              <w:t>F1 Free 25,000 emails/month</w:t>
            </w:r>
          </w:p>
        </w:tc>
      </w:tr>
    </w:tbl>
    <w:p w14:paraId="781A247E" w14:textId="77777777" w:rsidR="00624B38" w:rsidRPr="00C509A9" w:rsidRDefault="00624B38" w:rsidP="00C509A9"/>
    <w:sectPr w:rsidR="00624B38" w:rsidRPr="00C509A9" w:rsidSect="00E022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F1EF7"/>
    <w:multiLevelType w:val="hybridMultilevel"/>
    <w:tmpl w:val="340E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95C74"/>
    <w:multiLevelType w:val="hybridMultilevel"/>
    <w:tmpl w:val="14A0B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41DC6"/>
    <w:multiLevelType w:val="hybridMultilevel"/>
    <w:tmpl w:val="F906F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459CC"/>
    <w:multiLevelType w:val="hybridMultilevel"/>
    <w:tmpl w:val="7200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DB5AC5"/>
    <w:multiLevelType w:val="hybridMultilevel"/>
    <w:tmpl w:val="0F988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CA352E"/>
    <w:multiLevelType w:val="hybridMultilevel"/>
    <w:tmpl w:val="AE8E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7874E7"/>
    <w:multiLevelType w:val="hybridMultilevel"/>
    <w:tmpl w:val="3854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416793"/>
    <w:multiLevelType w:val="hybridMultilevel"/>
    <w:tmpl w:val="81B6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BE7C71"/>
    <w:multiLevelType w:val="hybridMultilevel"/>
    <w:tmpl w:val="963A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BB3090"/>
    <w:multiLevelType w:val="hybridMultilevel"/>
    <w:tmpl w:val="9DB24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643611"/>
    <w:multiLevelType w:val="hybridMultilevel"/>
    <w:tmpl w:val="C0064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1"/>
  </w:num>
  <w:num w:numId="5">
    <w:abstractNumId w:val="10"/>
  </w:num>
  <w:num w:numId="6">
    <w:abstractNumId w:val="0"/>
  </w:num>
  <w:num w:numId="7">
    <w:abstractNumId w:val="5"/>
  </w:num>
  <w:num w:numId="8">
    <w:abstractNumId w:val="6"/>
  </w:num>
  <w:num w:numId="9">
    <w:abstractNumId w:val="2"/>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265"/>
    <w:rsid w:val="0006464E"/>
    <w:rsid w:val="00102B22"/>
    <w:rsid w:val="00110D7C"/>
    <w:rsid w:val="001E34B6"/>
    <w:rsid w:val="002B42DA"/>
    <w:rsid w:val="00394297"/>
    <w:rsid w:val="004252BE"/>
    <w:rsid w:val="0050229A"/>
    <w:rsid w:val="005824E1"/>
    <w:rsid w:val="005D4503"/>
    <w:rsid w:val="00624B38"/>
    <w:rsid w:val="00681ECD"/>
    <w:rsid w:val="007E4B62"/>
    <w:rsid w:val="008114B2"/>
    <w:rsid w:val="00897584"/>
    <w:rsid w:val="00995B76"/>
    <w:rsid w:val="009B7252"/>
    <w:rsid w:val="009D1F4F"/>
    <w:rsid w:val="009E71F3"/>
    <w:rsid w:val="00A04A1C"/>
    <w:rsid w:val="00A21F4C"/>
    <w:rsid w:val="00AF3B35"/>
    <w:rsid w:val="00B33617"/>
    <w:rsid w:val="00B8733D"/>
    <w:rsid w:val="00C509A9"/>
    <w:rsid w:val="00CE49A2"/>
    <w:rsid w:val="00E02265"/>
    <w:rsid w:val="00E23F69"/>
    <w:rsid w:val="00E8612D"/>
    <w:rsid w:val="00F351FB"/>
    <w:rsid w:val="00FE2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6145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26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450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265"/>
    <w:pPr>
      <w:ind w:left="720"/>
      <w:contextualSpacing/>
    </w:pPr>
  </w:style>
  <w:style w:type="paragraph" w:styleId="Title">
    <w:name w:val="Title"/>
    <w:basedOn w:val="Normal"/>
    <w:next w:val="Normal"/>
    <w:link w:val="TitleChar"/>
    <w:uiPriority w:val="10"/>
    <w:qFormat/>
    <w:rsid w:val="00E022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2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226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D45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D4503"/>
    <w:rPr>
      <w:rFonts w:asciiTheme="majorHAnsi" w:eastAsiaTheme="majorEastAsia" w:hAnsiTheme="majorHAnsi" w:cstheme="majorBidi"/>
      <w:color w:val="2E74B5" w:themeColor="accent1" w:themeShade="BF"/>
      <w:sz w:val="26"/>
      <w:szCs w:val="26"/>
    </w:rPr>
  </w:style>
  <w:style w:type="table" w:styleId="ListTable3-Accent1">
    <w:name w:val="List Table 3 Accent 1"/>
    <w:basedOn w:val="TableNormal"/>
    <w:uiPriority w:val="48"/>
    <w:rsid w:val="00681ECD"/>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4-Accent1">
    <w:name w:val="Grid Table 4 Accent 1"/>
    <w:basedOn w:val="TableNormal"/>
    <w:uiPriority w:val="49"/>
    <w:rsid w:val="00681ECD"/>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5022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4622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zure.microsoft.com/en-us/documentation/articles/automation-certificates/" TargetMode="External"/><Relationship Id="rId6" Type="http://schemas.openxmlformats.org/officeDocument/2006/relationships/hyperlink" Target="https://www.microsoftpressstore.com/articles/article.aspx?p=2473127" TargetMode="External"/><Relationship Id="rId7" Type="http://schemas.openxmlformats.org/officeDocument/2006/relationships/hyperlink" Target="http://storageexplorer.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2189</Words>
  <Characters>12479</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Lasne</dc:creator>
  <cp:keywords/>
  <dc:description/>
  <cp:lastModifiedBy>Peter Lasne</cp:lastModifiedBy>
  <cp:revision>3</cp:revision>
  <dcterms:created xsi:type="dcterms:W3CDTF">2016-09-09T18:29:00Z</dcterms:created>
  <dcterms:modified xsi:type="dcterms:W3CDTF">2016-09-09T18:42:00Z</dcterms:modified>
</cp:coreProperties>
</file>