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56"/>
          <w:szCs w:val="56"/>
        </w:rPr>
        <w:t xml:space="preserve">AEGIS</w:t>
      </w:r>
    </w:p>
    <w:p>
      <w:pPr>
        <w:spacing w:after="260"/>
      </w:pPr>
      <w:r>
        <w:rPr>
          <w:i/>
          <w:iCs/>
          <w:color w:val="2563EB"/>
          <w:sz w:val="24"/>
          <w:szCs w:val="24"/>
        </w:rPr>
        <w:t xml:space="preserve">DLP conversacional con enfoque pedagógico para el uso seguro de IA en la empresa</w:t>
      </w:r>
    </w:p>
    <w:p>
      <w:pPr>
        <w:pStyle w:val="Heading1"/>
        <w:pBdr>
          <w:bottom w:val="single" w:color="2563EB" w:sz="8" w:space="4"/>
        </w:pBdr>
        <w:spacing w:after="160" w:before="320"/>
      </w:pPr>
      <w:r>
        <w:rPr>
          <w:b/>
          <w:bCs/>
          <w:color w:val="1F2937"/>
          <w:sz w:val="28"/>
          <w:szCs w:val="28"/>
        </w:rPr>
        <w:t xml:space="preserve">El problema</w:t>
      </w:r>
    </w:p>
    <w:p>
      <w:pPr>
        <w:spacing w:after="140" w:line="300"/>
      </w:pPr>
      <w:r>
        <w:rPr>
          <w:i w:val="false"/>
          <w:iCs w:val="false"/>
          <w:color w:val="1F2937"/>
          <w:sz w:val="22"/>
          <w:szCs w:val="22"/>
        </w:rPr>
        <w:t xml:space="preserve">Aún con experiencia y criterio técnico, los propios desarrolladores caen en riesgos de seguridad como compartir credenciales o información no pública de la aplicación con agentes de IA, o usar herramientas de IA no aprobadas por la empresa. Si ese riesgo existe en equipos técnicos, es considerablemente mayor en áreas no técnicas — marketing, contabilidad, recursos humanos — que usan IA en su trabajo diario sin el mismo criterio de seguridad.</w:t>
      </w:r>
    </w:p>
    <w:p>
      <w:pPr>
        <w:spacing w:after="140" w:line="300"/>
      </w:pPr>
      <w:r>
        <w:rPr>
          <w:i w:val="false"/>
          <w:iCs w:val="false"/>
          <w:color w:val="1F2937"/>
          <w:sz w:val="22"/>
          <w:szCs w:val="22"/>
        </w:rPr>
        <w:t xml:space="preserve">El punto de partida de Aegis no es solo evitar la filtración puntual, sino entender que la mayoría de estos incidentes no nacen de mala intención, sino de una brecha de comprensión sobre qué información no debería compartirse y por qué. Señalar el error después de que ocurre no cierra esa brecha: la misma persona que hoy comparte una API de Meta con Claude para una campaña puede mañana compartir datos de usuarios con ChatGPT, si nadie le explicó la lógica detrás del riesgo.</w:t>
      </w:r>
    </w:p>
    <w:p>
      <w:pPr>
        <w:pStyle w:val="Heading1"/>
        <w:pBdr>
          <w:bottom w:val="single" w:color="2563EB" w:sz="8" w:space="4"/>
        </w:pBdr>
        <w:spacing w:after="160" w:before="320"/>
      </w:pPr>
      <w:r>
        <w:rPr>
          <w:b/>
          <w:bCs/>
          <w:color w:val="1F2937"/>
          <w:sz w:val="28"/>
          <w:szCs w:val="28"/>
        </w:rPr>
        <w:t xml:space="preserve">Por qué esto importa ahora</w:t>
      </w:r>
    </w:p>
    <w:p>
      <w:pPr>
        <w:spacing w:after="140" w:line="300"/>
      </w:pPr>
      <w:r>
        <w:rPr>
          <w:i w:val="false"/>
          <w:iCs w:val="false"/>
          <w:color w:val="1F2937"/>
          <w:sz w:val="22"/>
          <w:szCs w:val="22"/>
        </w:rPr>
        <w:t xml:space="preserve">Dos estudios recientes, uno global y uno específico de Akamai sobre Latinoamérica, respaldan la urgencia del problema: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600"/>
      </w:tblGrid>
      <w:tr>
        <w:tc>
          <w:tcPr>
            <w:tcW w:type="dxa" w:w="1600"/>
            <w:shd w:fill="1F2937" w:val="clear"/>
            <w:tcMar>
              <w:top w:type="dxa" w:w="100"/>
              <w:left w:type="dxa" w:w="120"/>
              <w:bottom w:type="dxa" w:w="100"/>
              <w:right w:type="dxa" w:w="120"/>
            </w:tcMar>
          </w:tcPr>
          <w:p>
            <w:r>
              <w:rPr>
                <w:b/>
                <w:bCs/>
                <w:color w:val="FFFFFF"/>
                <w:sz w:val="20"/>
                <w:szCs w:val="20"/>
              </w:rPr>
              <w:t xml:space="preserve">Dato</w:t>
            </w:r>
          </w:p>
        </w:tc>
        <w:tc>
          <w:tcPr>
            <w:tcW w:type="dxa" w:w="5400"/>
            <w:shd w:fill="1F2937" w:val="clear"/>
            <w:tcMar>
              <w:top w:type="dxa" w:w="100"/>
              <w:left w:type="dxa" w:w="120"/>
              <w:bottom w:type="dxa" w:w="100"/>
              <w:right w:type="dxa" w:w="120"/>
            </w:tcMar>
          </w:tcPr>
          <w:p>
            <w:r>
              <w:rPr>
                <w:b/>
                <w:bCs/>
                <w:color w:val="FFFFFF"/>
                <w:sz w:val="20"/>
                <w:szCs w:val="20"/>
              </w:rPr>
              <w:t xml:space="preserve">Hallazgo</w:t>
            </w:r>
          </w:p>
        </w:tc>
        <w:tc>
          <w:tcPr>
            <w:tcW w:type="dxa" w:w="2600"/>
            <w:shd w:fill="1F2937" w:val="clear"/>
            <w:tcMar>
              <w:top w:type="dxa" w:w="100"/>
              <w:left w:type="dxa" w:w="120"/>
              <w:bottom w:type="dxa" w:w="100"/>
              <w:right w:type="dxa" w:w="120"/>
            </w:tcMar>
          </w:tcPr>
          <w:p>
            <w:r>
              <w:rPr>
                <w:b/>
                <w:bCs/>
                <w:color w:val="FFFFFF"/>
                <w:sz w:val="20"/>
                <w:szCs w:val="20"/>
              </w:rPr>
              <w:t xml:space="preserve">Fuente</w:t>
            </w:r>
          </w:p>
        </w:tc>
      </w:tr>
      <w:tr>
        <w:tc>
          <w:tcPr>
            <w:tcW w:type="dxa" w:w="1600"/>
            <w:shd w:fill="F3F4F6" w:val="clear"/>
            <w:tcMar>
              <w:top w:type="dxa" w:w="100"/>
              <w:left w:type="dxa" w:w="120"/>
              <w:bottom w:type="dxa" w:w="100"/>
              <w:right w:type="dxa" w:w="120"/>
            </w:tcMar>
          </w:tcPr>
          <w:p>
            <w:r>
              <w:rPr>
                <w:b/>
                <w:bCs/>
                <w:color w:val="1F2937"/>
                <w:sz w:val="20"/>
                <w:szCs w:val="20"/>
              </w:rPr>
              <w:t xml:space="preserve">45% vs. 15%</w:t>
            </w:r>
          </w:p>
        </w:tc>
        <w:tc>
          <w:tcPr>
            <w:tcW w:type="dxa" w:w="5400"/>
            <w:shd w:fill="F3F4F6" w:val="clear"/>
            <w:tcMar>
              <w:top w:type="dxa" w:w="100"/>
              <w:left w:type="dxa" w:w="120"/>
              <w:bottom w:type="dxa" w:w="100"/>
              <w:right w:type="dxa" w:w="120"/>
            </w:tcMar>
          </w:tcPr>
          <w:p>
            <w:r>
              <w:rPr>
                <w:b w:val="false"/>
                <w:bCs w:val="false"/>
                <w:color w:val="1F2937"/>
                <w:sz w:val="20"/>
                <w:szCs w:val="20"/>
              </w:rPr>
              <w:t xml:space="preserve">Proporción de empleados que usan IA de forma regular en dispositivos corporativos, un salto interanual de 15% a 45%. El shadow AI ya es la tercera acción interna no maliciosa más común detectada en datos de DLP, un aumento de 4x en un año.</w:t>
            </w:r>
          </w:p>
        </w:tc>
        <w:tc>
          <w:tcPr>
            <w:tcW w:type="dxa" w:w="2600"/>
            <w:shd w:fill="F3F4F6" w:val="clear"/>
            <w:tcMar>
              <w:top w:type="dxa" w:w="100"/>
              <w:left w:type="dxa" w:w="120"/>
              <w:bottom w:type="dxa" w:w="100"/>
              <w:right w:type="dxa" w:w="120"/>
            </w:tcMar>
          </w:tcPr>
          <w:p>
            <w:r>
              <w:rPr>
                <w:b w:val="false"/>
                <w:bCs w:val="false"/>
                <w:color w:val="1F2937"/>
                <w:sz w:val="20"/>
                <w:szCs w:val="20"/>
              </w:rPr>
              <w:t xml:space="preserve">Verizon, 2026 Data Breach Investigations Report</w:t>
            </w:r>
          </w:p>
        </w:tc>
      </w:tr>
      <w:tr>
        <w:tc>
          <w:tcPr>
            <w:tcW w:type="dxa" w:w="1600"/>
            <w:shd w:fill="FFFFFF" w:val="clear"/>
            <w:tcMar>
              <w:top w:type="dxa" w:w="100"/>
              <w:left w:type="dxa" w:w="120"/>
              <w:bottom w:type="dxa" w:w="100"/>
              <w:right w:type="dxa" w:w="120"/>
            </w:tcMar>
          </w:tcPr>
          <w:p>
            <w:r>
              <w:rPr>
                <w:b/>
                <w:bCs/>
                <w:color w:val="1F2937"/>
                <w:sz w:val="20"/>
                <w:szCs w:val="20"/>
              </w:rPr>
              <w:t xml:space="preserve">67%</w:t>
            </w:r>
          </w:p>
        </w:tc>
        <w:tc>
          <w:tcPr>
            <w:tcW w:type="dxa" w:w="5400"/>
            <w:shd w:fill="FFFFFF" w:val="clear"/>
            <w:tcMar>
              <w:top w:type="dxa" w:w="100"/>
              <w:left w:type="dxa" w:w="120"/>
              <w:bottom w:type="dxa" w:w="100"/>
              <w:right w:type="dxa" w:w="120"/>
            </w:tcMar>
          </w:tcPr>
          <w:p>
            <w:r>
              <w:rPr>
                <w:b w:val="false"/>
                <w:bCs w:val="false"/>
                <w:color w:val="1F2937"/>
                <w:sz w:val="20"/>
                <w:szCs w:val="20"/>
              </w:rPr>
              <w:t xml:space="preserve">De los empleados que acceden a servicios de IA desde dispositivos corporativos lo hacen a través de cuentas personales, no corporativas — fuera de cualquier visibilidad de la empresa.</w:t>
            </w:r>
          </w:p>
        </w:tc>
        <w:tc>
          <w:tcPr>
            <w:tcW w:type="dxa" w:w="2600"/>
            <w:shd w:fill="FFFFFF" w:val="clear"/>
            <w:tcMar>
              <w:top w:type="dxa" w:w="100"/>
              <w:left w:type="dxa" w:w="120"/>
              <w:bottom w:type="dxa" w:w="100"/>
              <w:right w:type="dxa" w:w="120"/>
            </w:tcMar>
          </w:tcPr>
          <w:p>
            <w:r>
              <w:rPr>
                <w:b w:val="false"/>
                <w:bCs w:val="false"/>
                <w:color w:val="1F2937"/>
                <w:sz w:val="20"/>
                <w:szCs w:val="20"/>
              </w:rPr>
              <w:t xml:space="preserve">Verizon, 2026 Data Breach Investigations Report</w:t>
            </w:r>
          </w:p>
        </w:tc>
      </w:tr>
      <w:tr>
        <w:tc>
          <w:tcPr>
            <w:tcW w:type="dxa" w:w="1600"/>
            <w:shd w:fill="F3F4F6" w:val="clear"/>
            <w:tcMar>
              <w:top w:type="dxa" w:w="100"/>
              <w:left w:type="dxa" w:w="120"/>
              <w:bottom w:type="dxa" w:w="100"/>
              <w:right w:type="dxa" w:w="120"/>
            </w:tcMar>
          </w:tcPr>
          <w:p>
            <w:r>
              <w:rPr>
                <w:b/>
                <w:bCs/>
                <w:color w:val="1F2937"/>
                <w:sz w:val="20"/>
                <w:szCs w:val="20"/>
              </w:rPr>
              <w:t xml:space="preserve">89%</w:t>
            </w:r>
          </w:p>
        </w:tc>
        <w:tc>
          <w:tcPr>
            <w:tcW w:type="dxa" w:w="5400"/>
            <w:shd w:fill="F3F4F6" w:val="clear"/>
            <w:tcMar>
              <w:top w:type="dxa" w:w="100"/>
              <w:left w:type="dxa" w:w="120"/>
              <w:bottom w:type="dxa" w:w="100"/>
              <w:right w:type="dxa" w:w="120"/>
            </w:tcMar>
          </w:tcPr>
          <w:p>
            <w:r>
              <w:rPr>
                <w:b w:val="false"/>
                <w:bCs w:val="false"/>
                <w:color w:val="1F2937"/>
                <w:sz w:val="20"/>
                <w:szCs w:val="20"/>
              </w:rPr>
              <w:t xml:space="preserve">De las organizaciones en Latinoamérica sufrió al menos un incidente de seguridad relacionado con APIs en los últimos 12 meses, por encima del promedio global de 87%.</w:t>
            </w:r>
          </w:p>
        </w:tc>
        <w:tc>
          <w:tcPr>
            <w:tcW w:type="dxa" w:w="2600"/>
            <w:shd w:fill="F3F4F6" w:val="clear"/>
            <w:tcMar>
              <w:top w:type="dxa" w:w="100"/>
              <w:left w:type="dxa" w:w="120"/>
              <w:bottom w:type="dxa" w:w="100"/>
              <w:right w:type="dxa" w:w="120"/>
            </w:tcMar>
          </w:tcPr>
          <w:p>
            <w:r>
              <w:rPr>
                <w:b w:val="false"/>
                <w:bCs w:val="false"/>
                <w:color w:val="1F2937"/>
                <w:sz w:val="20"/>
                <w:szCs w:val="20"/>
              </w:rPr>
              <w:t xml:space="preserve">Akamai, API Security Impact Study 2026 (1.840 profesionales, 10 países, 6 sectores)</w:t>
            </w:r>
          </w:p>
        </w:tc>
      </w:tr>
      <w:tr>
        <w:tc>
          <w:tcPr>
            <w:tcW w:type="dxa" w:w="1600"/>
            <w:shd w:fill="FFFFFF" w:val="clear"/>
            <w:tcMar>
              <w:top w:type="dxa" w:w="100"/>
              <w:left w:type="dxa" w:w="120"/>
              <w:bottom w:type="dxa" w:w="100"/>
              <w:right w:type="dxa" w:w="120"/>
            </w:tcMar>
          </w:tcPr>
          <w:p>
            <w:r>
              <w:rPr>
                <w:b/>
                <w:bCs/>
                <w:color w:val="1F2937"/>
                <w:sz w:val="20"/>
                <w:szCs w:val="20"/>
              </w:rPr>
              <w:t xml:space="preserve">42%</w:t>
            </w:r>
          </w:p>
        </w:tc>
        <w:tc>
          <w:tcPr>
            <w:tcW w:type="dxa" w:w="5400"/>
            <w:shd w:fill="FFFFFF" w:val="clear"/>
            <w:tcMar>
              <w:top w:type="dxa" w:w="100"/>
              <w:left w:type="dxa" w:w="120"/>
              <w:bottom w:type="dxa" w:w="100"/>
              <w:right w:type="dxa" w:w="120"/>
            </w:tcMar>
          </w:tcPr>
          <w:p>
            <w:r>
              <w:rPr>
                <w:b w:val="false"/>
                <w:bCs w:val="false"/>
                <w:color w:val="1F2937"/>
                <w:sz w:val="20"/>
                <w:szCs w:val="20"/>
              </w:rPr>
              <w:t xml:space="preserve">De los profesionales de seguridad afirma que las APIs que sostienen sus aplicaciones de IA, agentes o LLMs fueron blanco de ciberataques en el último año.</w:t>
            </w:r>
          </w:p>
        </w:tc>
        <w:tc>
          <w:tcPr>
            <w:tcW w:type="dxa" w:w="2600"/>
            <w:shd w:fill="FFFFFF" w:val="clear"/>
            <w:tcMar>
              <w:top w:type="dxa" w:w="100"/>
              <w:left w:type="dxa" w:w="120"/>
              <w:bottom w:type="dxa" w:w="100"/>
              <w:right w:type="dxa" w:w="120"/>
            </w:tcMar>
          </w:tcPr>
          <w:p>
            <w:r>
              <w:rPr>
                <w:b w:val="false"/>
                <w:bCs w:val="false"/>
                <w:color w:val="1F2937"/>
                <w:sz w:val="20"/>
                <w:szCs w:val="20"/>
              </w:rPr>
              <w:t xml:space="preserve">Akamai, API Security Impact Study 2026</w:t>
            </w:r>
          </w:p>
        </w:tc>
      </w:tr>
      <w:tr>
        <w:tc>
          <w:tcPr>
            <w:tcW w:type="dxa" w:w="1600"/>
            <w:shd w:fill="F3F4F6" w:val="clear"/>
            <w:tcMar>
              <w:top w:type="dxa" w:w="100"/>
              <w:left w:type="dxa" w:w="120"/>
              <w:bottom w:type="dxa" w:w="100"/>
              <w:right w:type="dxa" w:w="120"/>
            </w:tcMar>
          </w:tcPr>
          <w:p>
            <w:r>
              <w:rPr>
                <w:b/>
                <w:bCs/>
                <w:color w:val="1F2937"/>
                <w:sz w:val="20"/>
                <w:szCs w:val="20"/>
              </w:rPr>
              <w:t xml:space="preserve">27%</w:t>
            </w:r>
          </w:p>
        </w:tc>
        <w:tc>
          <w:tcPr>
            <w:tcW w:type="dxa" w:w="5400"/>
            <w:shd w:fill="F3F4F6" w:val="clear"/>
            <w:tcMar>
              <w:top w:type="dxa" w:w="100"/>
              <w:left w:type="dxa" w:w="120"/>
              <w:bottom w:type="dxa" w:w="100"/>
              <w:right w:type="dxa" w:w="120"/>
            </w:tcMar>
          </w:tcPr>
          <w:p>
            <w:r>
              <w:rPr>
                <w:b w:val="false"/>
                <w:bCs w:val="false"/>
                <w:color w:val="1F2937"/>
                <w:sz w:val="20"/>
                <w:szCs w:val="20"/>
              </w:rPr>
              <w:t xml:space="preserve">De las organizaciones con inventario completo de APIs sabe cuáles de ellas exponen datos sensibles — una caída frente al 40% de 2022, mientras la adopción de IA crece.</w:t>
            </w:r>
          </w:p>
        </w:tc>
        <w:tc>
          <w:tcPr>
            <w:tcW w:type="dxa" w:w="2600"/>
            <w:shd w:fill="F3F4F6" w:val="clear"/>
            <w:tcMar>
              <w:top w:type="dxa" w:w="100"/>
              <w:left w:type="dxa" w:w="120"/>
              <w:bottom w:type="dxa" w:w="100"/>
              <w:right w:type="dxa" w:w="120"/>
            </w:tcMar>
          </w:tcPr>
          <w:p>
            <w:r>
              <w:rPr>
                <w:b w:val="false"/>
                <w:bCs w:val="false"/>
                <w:color w:val="1F2937"/>
                <w:sz w:val="20"/>
                <w:szCs w:val="20"/>
              </w:rPr>
              <w:t xml:space="preserve">Akamai, API Security Impact Study 2026</w:t>
            </w:r>
          </w:p>
        </w:tc>
      </w:tr>
    </w:tbl>
    <w:p>
      <w:pPr>
        <w:spacing w:after="60" w:before="140"/>
      </w:pPr>
      <w:r>
        <w:rPr>
          <w:b/>
          <w:bCs/>
          <w:i/>
          <w:iCs/>
          <w:color w:val="6B7280"/>
          <w:sz w:val="18"/>
          <w:szCs w:val="18"/>
        </w:rPr>
        <w:t xml:space="preserve">Nota sobre las cifras: </w:t>
      </w:r>
      <w:r>
        <w:rPr>
          <w:i/>
          <w:iCs/>
          <w:color w:val="6B7280"/>
          <w:sz w:val="18"/>
          <w:szCs w:val="18"/>
        </w:rPr>
        <w:t xml:space="preserve">se corrigieron algunos valores de la versión anterior del documento (93%, un desglose específico de México, y una muestra de 360 profesionales en Brasil/México) porque no pudimos verificarlos contra la fuente pública de Akamai. Las cifras de esta versión sí están verificadas contra el estudio original y son, si acaso, más contundentes para el pitch.</w:t>
      </w:r>
    </w:p>
    <w:p>
      <w:pPr>
        <w:pStyle w:val="Heading1"/>
        <w:pBdr>
          <w:bottom w:val="single" w:color="2563EB" w:sz="8" w:space="4"/>
        </w:pBdr>
        <w:spacing w:after="160" w:before="320"/>
      </w:pPr>
      <w:r>
        <w:rPr>
          <w:b/>
          <w:bCs/>
          <w:color w:val="1F2937"/>
          <w:sz w:val="28"/>
          <w:szCs w:val="28"/>
        </w:rPr>
        <w:t xml:space="preserve">La propuesta: Aegis</w:t>
      </w:r>
    </w:p>
    <w:p>
      <w:pPr>
        <w:spacing w:after="140" w:line="300"/>
      </w:pPr>
      <w:r>
        <w:rPr>
          <w:i w:val="false"/>
          <w:iCs w:val="false"/>
          <w:color w:val="1F2937"/>
          <w:sz w:val="22"/>
          <w:szCs w:val="22"/>
        </w:rPr>
        <w:t xml:space="preserve">Aegis es la plataforma que permite que los equipos interactúen con agentes de IA sin temer por filtraciones de datos. Su diferenciador no es solo prevenir la filtración: es identificar los comportamientos, patrones y causas humanas detrás de cada intento, y entregarle al equipo las herramientas para que ese error no se repita.</w:t>
      </w:r>
    </w:p>
    <w:p>
      <w:pPr>
        <w:spacing w:after="140" w:line="300"/>
      </w:pPr>
      <w:r>
        <w:rPr>
          <w:i w:val="false"/>
          <w:iCs w:val="false"/>
          <w:color w:val="1F2937"/>
          <w:sz w:val="22"/>
          <w:szCs w:val="22"/>
        </w:rPr>
        <w:t xml:space="preserve">Ejemplo: si alguien de marketing intenta enviarle a Claude Code una API key de Meta para diseñar una campaña, no basta con bloquear el envío. Sin una intervención pedagógica, esa misma persona puede luego enviar datos de usuarios a ChatGPT. El sistema debe identificar el vacío de comprensión — qué información no debería compartirse y por qué — no solo la infracción puntual.</w:t>
      </w:r>
    </w:p>
    <w:p>
      <w:pPr>
        <w:pStyle w:val="Heading2"/>
        <w:spacing w:after="100" w:before="240"/>
      </w:pPr>
      <w:r>
        <w:rPr>
          <w:b/>
          <w:bCs/>
          <w:color w:val="2563EB"/>
          <w:sz w:val="24"/>
          <w:szCs w:val="24"/>
        </w:rPr>
        <w:t xml:space="preserve">Idea principal</w:t>
      </w:r>
    </w:p>
    <w:p>
      <w:pPr>
        <w:pStyle w:val="ListParagraph"/>
        <w:numPr>
          <w:ilvl w:val="0"/>
          <w:numId w:val="2"/>
        </w:numPr>
        <w:spacing w:after="80" w:line="280"/>
      </w:pPr>
      <w:r>
        <w:rPr>
          <w:color w:val="1F2937"/>
          <w:sz w:val="22"/>
          <w:szCs w:val="22"/>
        </w:rPr>
        <w:t xml:space="preserve">Un modelo de IA local que identifica e interviene posibles filtraciones de información antes de que lleguen al modelo externo — una pared entre el empleado y el agente de IA — además de detectar fallas de seguridad como el uso de herramientas no aprobadas por la empresa.</w:t>
      </w:r>
    </w:p>
    <w:p>
      <w:pPr>
        <w:pStyle w:val="ListParagraph"/>
        <w:numPr>
          <w:ilvl w:val="0"/>
          <w:numId w:val="2"/>
        </w:numPr>
        <w:spacing w:after="80" w:line="280"/>
      </w:pPr>
      <w:r>
        <w:rPr>
          <w:color w:val="1F2937"/>
          <w:sz w:val="22"/>
          <w:szCs w:val="22"/>
        </w:rPr>
        <w:t xml:space="preserve">Una base de datos creciente, mantenida por un modelo de IA capaz de catalogar nuevas URLs como posibles focos de filtración (shadow AI), ampliando su cobertura con el tiempo sin depender de una lista estática.</w:t>
      </w:r>
    </w:p>
    <w:p>
      <w:pPr>
        <w:pStyle w:val="ListParagraph"/>
        <w:numPr>
          <w:ilvl w:val="0"/>
          <w:numId w:val="2"/>
        </w:numPr>
        <w:spacing w:after="80" w:line="280"/>
      </w:pPr>
      <w:r>
        <w:rPr>
          <w:color w:val="1F2937"/>
          <w:sz w:val="22"/>
          <w:szCs w:val="22"/>
        </w:rPr>
        <w:t xml:space="preserve">Un sistema de enseñanza y monitoreo: análisis de las actividades del equipo (quiénes tienen mayor riesgo de filtrar información sensible, quiénes intentaron acceder a sitios de IA no permitidos, qué tipo de consultas se repiten), con patrones, estrategias propuestas e insights accionables para la empresa.</w:t>
      </w:r>
    </w:p>
    <w:p>
      <w:pPr>
        <w:pStyle w:val="ListParagraph"/>
        <w:numPr>
          <w:ilvl w:val="0"/>
          <w:numId w:val="2"/>
        </w:numPr>
        <w:spacing w:after="80" w:line="280"/>
      </w:pPr>
      <w:r>
        <w:rPr>
          <w:color w:val="1F2937"/>
          <w:sz w:val="22"/>
          <w:szCs w:val="22"/>
        </w:rPr>
        <w:t xml:space="preserve">Políticas configurables por la propia empresa: qué tipo de información está prohibido compartir, qué herramientas de IA están aprobadas, y qué empleados quedan sujetos a qué reglas según su cargo y área.</w:t>
      </w:r>
    </w:p>
    <w:p>
      <w:pPr>
        <w:pStyle w:val="Heading1"/>
        <w:pBdr>
          <w:bottom w:val="single" w:color="2563EB" w:sz="8" w:space="4"/>
        </w:pBdr>
        <w:spacing w:after="160" w:before="320"/>
      </w:pPr>
      <w:r>
        <w:rPr>
          <w:b/>
          <w:bCs/>
          <w:color w:val="1F2937"/>
          <w:sz w:val="28"/>
          <w:szCs w:val="28"/>
        </w:rPr>
        <w:t xml:space="preserve">Requisitos del MVP</w:t>
      </w:r>
    </w:p>
    <w:p>
      <w:pPr>
        <w:pStyle w:val="ListParagraph"/>
        <w:numPr>
          <w:ilvl w:val="0"/>
          <w:numId w:val="2"/>
        </w:numPr>
        <w:spacing w:after="80" w:line="280"/>
      </w:pPr>
      <w:r>
        <w:rPr>
          <w:color w:val="1F2937"/>
          <w:sz w:val="22"/>
          <w:szCs w:val="22"/>
        </w:rPr>
        <w:t xml:space="preserve">Instalación sencilla, sin fricción para el usuario final.</w:t>
      </w:r>
    </w:p>
    <w:p>
      <w:pPr>
        <w:pStyle w:val="ListParagraph"/>
        <w:numPr>
          <w:ilvl w:val="0"/>
          <w:numId w:val="2"/>
        </w:numPr>
        <w:spacing w:after="80" w:line="280"/>
      </w:pPr>
      <w:r>
        <w:rPr>
          <w:color w:val="1F2937"/>
          <w:sz w:val="22"/>
          <w:szCs w:val="22"/>
        </w:rPr>
        <w:t xml:space="preserve">Perfil de empresa (administrador) y perfil de empleado, con roles diferenciados.</w:t>
      </w:r>
    </w:p>
    <w:p>
      <w:pPr>
        <w:pStyle w:val="ListParagraph"/>
        <w:numPr>
          <w:ilvl w:val="0"/>
          <w:numId w:val="2"/>
        </w:numPr>
        <w:spacing w:after="80" w:line="280"/>
      </w:pPr>
      <w:r>
        <w:rPr>
          <w:color w:val="1F2937"/>
          <w:sz w:val="22"/>
          <w:szCs w:val="22"/>
        </w:rPr>
        <w:t xml:space="preserve">Cobertura tanto para sitios web (URLs) como para herramientas de uso común: Claude Code, Codex y aplicaciones de IA de escritorio.</w:t>
      </w:r>
    </w:p>
    <w:p>
      <w:pPr>
        <w:pStyle w:val="Heading1"/>
        <w:pBdr>
          <w:bottom w:val="single" w:color="2563EB" w:sz="8" w:space="4"/>
        </w:pBdr>
        <w:spacing w:after="160" w:before="320"/>
      </w:pPr>
      <w:r>
        <w:rPr>
          <w:b/>
          <w:bCs/>
          <w:color w:val="1F2937"/>
          <w:sz w:val="28"/>
          <w:szCs w:val="28"/>
        </w:rPr>
        <w:t xml:space="preserve">Diferenciación</w:t>
      </w:r>
    </w:p>
    <w:p>
      <w:pPr>
        <w:spacing w:after="140" w:line="300"/>
      </w:pPr>
      <w:r>
        <w:rPr>
          <w:i w:val="false"/>
          <w:iCs w:val="false"/>
          <w:color w:val="1F2937"/>
          <w:sz w:val="22"/>
          <w:szCs w:val="22"/>
        </w:rPr>
        <w:t xml:space="preserve">El mercado de prevención de fuga de datos hacia IA (DLP conversacional) y el de gobernanza de identidades no-humanas está creciendo rápido y ya atrae inversión relevante a nivel global. La diferenciación de Aegis no está en competir en detección técnica pura, sino en el enfoque pedagógico: convertir cada intento bloqueado en una oportunidad de aprendizaje específico para esa persona, en su idioma y en el contexto de su rol — algo que las plataformas enterprise actuales, pensadas para equipos de seguridad, no priorizan.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2026-08-22T05:55:06.752Z</dcterms:created>
  <dcterms:modified xsi:type="dcterms:W3CDTF">2026-08-22T05:55:06.764Z</dcterms:modified>
</cp:coreProperties>
</file>

<file path=docProps/custom.xml><?xml version="1.0" encoding="utf-8"?>
<Properties xmlns="http://schemas.openxmlformats.org/officeDocument/2006/custom-properties" xmlns:vt="http://schemas.openxmlformats.org/officeDocument/2006/docPropsVTypes"/>
</file>