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Arquitectura de software</w:t>
      </w:r>
    </w:p>
    <w:p>
      <w:pPr>
        <w:pStyle w:val="Heading2"/>
      </w:pPr>
      <w:r>
        <w:t>Nivel 1 · Contexto</w:t>
      </w:r>
    </w:p>
    <w:p>
      <w:r>
        <w:drawing>
          <wp:inline xmlns:a="http://schemas.openxmlformats.org/drawingml/2006/main" xmlns:pic="http://schemas.openxmlformats.org/drawingml/2006/picture">
            <wp:extent cx="5760720" cy="374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05-arquitectura-1</w:t>
      </w:r>
    </w:p>
    <w:p>
      <w:pPr>
        <w:pStyle w:val="Heading2"/>
      </w:pPr>
      <w:r>
        <w:t>Nivel 2 · Contenedores</w:t>
      </w:r>
    </w:p>
    <w:p>
      <w:r>
        <w:drawing>
          <wp:inline xmlns:a="http://schemas.openxmlformats.org/drawingml/2006/main" xmlns:pic="http://schemas.openxmlformats.org/drawingml/2006/picture">
            <wp:extent cx="5760720" cy="2755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Contenedor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Ubicación en el repo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Firmware del lector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C++ / PlatformIO, MFRC522, micro-ecc, ArduinoJson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firmware/rc522-diag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Guardián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PIC16F13145, MPLAB X, CLB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firmware/pic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Pantalla del comercio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Arduino UNO + MCUFRIEND_kbv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firmware/uno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Gateway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Node.js 20, serialport, SQLite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gateway/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Go (chi, pgx), JWT, bcrypt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Postgres (migraciones SQL)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db/migrations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Front y PWAs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React, TypeScript, Vite, Tailwind, WebCrypto, IndexedDB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web/</w:t>
            </w:r>
            <w:r>
              <w:rPr>
                <w:sz w:val="18"/>
              </w:rPr>
              <w:t xml:space="preserve"> (núcleo QR en </w:t>
            </w:r>
            <w:r>
              <w:rPr>
                <w:rFonts w:ascii="Consolas" w:hAnsi="Consolas"/>
                <w:color w:val="9A3412"/>
                <w:sz w:val="18"/>
              </w:rPr>
              <w:t>web/src/lib/slj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Herramientas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Verificador independiente en Node, claves públicas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tools/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keys/</w:t>
            </w:r>
          </w:p>
        </w:tc>
      </w:tr>
    </w:tbl>
    <w:p/>
    <w:p>
      <w:pPr>
        <w:pStyle w:val="Heading2"/>
      </w:pPr>
      <w:r>
        <w:t>Nivel 3 · Componentes de la API</w:t>
      </w:r>
    </w:p>
    <w:p>
      <w:r>
        <w:drawing>
          <wp:inline xmlns:a="http://schemas.openxmlformats.org/drawingml/2006/main" xmlns:pic="http://schemas.openxmlformats.org/drawingml/2006/picture">
            <wp:extent cx="5760720" cy="1976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05-arquitectura-3</w:t>
      </w:r>
    </w:p>
    <w:p>
      <w:pPr>
        <w:pStyle w:val="Heading2"/>
      </w:pPr>
      <w:r>
        <w:t>Decisiones de arquitectura (ADR resumidos)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Consecuencia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ESP32 + RC522 en vez de Mega + PN532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Disponibilidad del kit; ESP32 con más memoria para micro-ecc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Pines y alimentación documentados en </w:t>
            </w:r>
            <w:r>
              <w:rPr>
                <w:rFonts w:ascii="Consolas" w:hAnsi="Consolas"/>
                <w:color w:val="9A3412"/>
                <w:sz w:val="18"/>
              </w:rPr>
              <w:t>rc522-diag</w:t>
            </w:r>
            <w:r>
              <w:rPr>
                <w:sz w:val="18"/>
              </w:rPr>
              <w:t>; el RC522 solo lee MIFARE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Firma ECDSA P-256 </w:t>
            </w:r>
            <w:r>
              <w:rPr>
                <w:rFonts w:ascii="Consolas" w:hAnsi="Consolas"/>
                <w:color w:val="9A3412"/>
                <w:sz w:val="18"/>
              </w:rPr>
              <w:t>r‖s</w:t>
            </w:r>
            <w:r>
              <w:rPr>
                <w:sz w:val="18"/>
              </w:rPr>
              <w:t xml:space="preserve"> de 64 B con el UID dentro del mensaje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Mismo algoritmo en Go, WebCrypto y micro-ecc; impide copiar un atributo a otra tarjeta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Vectores compartidos en </w:t>
            </w:r>
            <w:r>
              <w:rPr>
                <w:rFonts w:ascii="Consolas" w:hAnsi="Consolas"/>
                <w:color w:val="9A3412"/>
                <w:sz w:val="18"/>
              </w:rPr>
              <w:t>docs/test-vectors.json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Handle seudónimo en vez de datos personales en eventos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historial no revela identidad al terminal ni al comercio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 API une handle → ciudadano solo para el dueño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Verificación offline en 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dependencia de red en el punto de uso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Revocaciones sincronizadas cada 60 s por el gateway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Avisos en segundo plano (</w:t>
            </w:r>
            <w:r>
              <w:rPr>
                <w:rFonts w:ascii="Consolas" w:hAnsi="Consolas"/>
                <w:color w:val="9A3412"/>
                <w:sz w:val="18"/>
              </w:rPr>
              <w:t>goNotify</w:t>
            </w:r>
            <w:r>
              <w:rPr>
                <w:sz w:val="18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Un fallo o demora de Kapso no frena al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evento queda guardado aunque falle el aviso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Aviso en </w:t>
            </w:r>
            <w:r>
              <w:rPr>
                <w:b/>
                <w:sz w:val="18"/>
              </w:rPr>
              <w:t>todos</w:t>
            </w:r>
            <w:r>
              <w:rPr>
                <w:sz w:val="18"/>
              </w:rPr>
              <w:t xml:space="preserve"> los resultados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ciudadano detecta intentos denegados (copias, terminales sin permiso)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Más mensajes; respeta </w:t>
            </w:r>
            <w:r>
              <w:rPr>
                <w:rFonts w:ascii="Consolas" w:hAnsi="Consolas"/>
                <w:color w:val="9A3412"/>
                <w:sz w:val="18"/>
              </w:rPr>
              <w:t>notifications</w:t>
            </w:r>
            <w:r>
              <w:rPr>
                <w:sz w:val="18"/>
              </w:rPr>
              <w:t xml:space="preserve"> por cuenta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Todo en Render (Go + Postgres + estático)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9A3412"/>
                <w:sz w:val="18"/>
              </w:rPr>
              <w:t>render.yaml</w:t>
            </w:r>
            <w:r>
              <w:rPr>
                <w:sz w:val="18"/>
              </w:rPr>
              <w:t>, URL pública para el webhook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Arranque en frío del plan gratuito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Guardián PIC independiente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Bloqueo por hardware aunque el firmware sea comprometido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Requiere REARME tras cada grabación</w:t>
            </w:r>
          </w:p>
        </w:tc>
      </w:tr>
    </w:tbl>
    <w:p/>
    <w:p>
      <w:pPr>
        <w:pStyle w:val="Heading2"/>
      </w:pPr>
      <w:r>
        <w:t>Despliegue</w:t>
      </w:r>
    </w:p>
    <w:p>
      <w:r>
        <w:rPr>
          <w:rFonts w:ascii="Consolas" w:hAnsi="Consolas"/>
          <w:color w:val="9A3412"/>
          <w:sz w:val="18"/>
        </w:rPr>
        <w:t>render.yaml</w:t>
      </w:r>
      <w:r>
        <w:t xml:space="preserve"> define </w:t>
      </w:r>
      <w:r>
        <w:rPr>
          <w:rFonts w:ascii="Consolas" w:hAnsi="Consolas"/>
          <w:color w:val="9A3412"/>
          <w:sz w:val="18"/>
        </w:rPr>
        <w:t>slj-api</w:t>
      </w:r>
      <w:r>
        <w:t xml:space="preserve"> (Go, </w:t>
      </w:r>
      <w:r>
        <w:rPr>
          <w:rFonts w:ascii="Consolas" w:hAnsi="Consolas"/>
          <w:color w:val="9A3412"/>
          <w:sz w:val="18"/>
        </w:rPr>
        <w:t>rootDir: api</w:t>
      </w:r>
      <w:r>
        <w:t xml:space="preserve">, health </w:t>
      </w:r>
      <w:r>
        <w:rPr>
          <w:rFonts w:ascii="Consolas" w:hAnsi="Consolas"/>
          <w:color w:val="9A3412"/>
          <w:sz w:val="18"/>
        </w:rPr>
        <w:t>/api/health</w:t>
      </w:r>
      <w:r>
        <w:t xml:space="preserve">) y </w:t>
      </w:r>
      <w:r>
        <w:rPr>
          <w:rFonts w:ascii="Consolas" w:hAnsi="Consolas"/>
          <w:color w:val="9A3412"/>
          <w:sz w:val="18"/>
        </w:rPr>
        <w:t>slj-web</w:t>
      </w:r>
      <w:r>
        <w:t xml:space="preserve"> (estático, rewrite </w:t>
      </w:r>
      <w:r>
        <w:rPr>
          <w:rFonts w:ascii="Consolas" w:hAnsi="Consolas"/>
          <w:color w:val="9A3412"/>
          <w:sz w:val="18"/>
        </w:rPr>
        <w:t>/api/*</w:t>
      </w:r>
      <w:r>
        <w:t xml:space="preserve"> hacia la API y </w:t>
      </w:r>
      <w:r>
        <w:rPr>
          <w:rFonts w:ascii="Consolas" w:hAnsi="Consolas"/>
          <w:color w:val="9A3412"/>
          <w:sz w:val="18"/>
        </w:rPr>
        <w:t>/*</w:t>
      </w:r>
      <w:r>
        <w:t xml:space="preserve"> a </w:t>
      </w:r>
      <w:r>
        <w:rPr>
          <w:rFonts w:ascii="Consolas" w:hAnsi="Consolas"/>
          <w:color w:val="9A3412"/>
          <w:sz w:val="18"/>
        </w:rPr>
        <w:t>index.html</w:t>
      </w:r>
      <w:r>
        <w:t xml:space="preserve">). Variables en </w:t>
      </w:r>
      <w:r>
        <w:rPr>
          <w:color w:val="1D4ED8"/>
          <w:u w:val="single"/>
        </w:rPr>
        <w:t>08</w:t>
      </w:r>
      <w:r>
        <w:t>.</w:t>
      </w:r>
    </w:p>
    <w:p>
      <w:pPr>
        <w:pStyle w:val="Heading2"/>
      </w:pPr>
      <w:r>
        <w:t>Mapa con el grafo de conocimiento (graphify)</w:t>
      </w:r>
    </w:p>
    <w:p>
      <w:r>
        <w:t>Comunidades detectadas: utilidades binarias (</w:t>
      </w:r>
      <w:r>
        <w:rPr>
          <w:rFonts w:ascii="Consolas" w:hAnsi="Consolas"/>
          <w:color w:val="9A3412"/>
          <w:sz w:val="18"/>
        </w:rPr>
        <w:t>bytes.ts</w:t>
      </w:r>
      <w:r>
        <w:t>), códec y criptografía del QR (</w:t>
      </w:r>
      <w:r>
        <w:rPr>
          <w:rFonts w:ascii="Consolas" w:hAnsi="Consolas"/>
          <w:color w:val="9A3412"/>
          <w:sz w:val="18"/>
        </w:rPr>
        <w:t>web/src/lib/slj</w:t>
      </w:r>
      <w:r>
        <w:t xml:space="preserve">), CLI y pruebas en Go, almacén IndexedDB, verificación QR y laboratorio, despliegue Render. Nodos centrales: </w:t>
      </w:r>
      <w:r>
        <w:rPr>
          <w:rFonts w:ascii="Consolas" w:hAnsi="Consolas"/>
          <w:color w:val="9A3412"/>
          <w:sz w:val="18"/>
        </w:rPr>
        <w:t>verifyPresentation()</w:t>
      </w:r>
      <w:r>
        <w:t xml:space="preserve">, </w:t>
      </w:r>
      <w:r>
        <w:rPr>
          <w:rFonts w:ascii="Consolas" w:hAnsi="Consolas"/>
          <w:color w:val="9A3412"/>
          <w:sz w:val="18"/>
        </w:rPr>
        <w:t>parsePresentation()</w:t>
      </w:r>
      <w:r>
        <w:t xml:space="preserve">, </w:t>
      </w:r>
      <w:r>
        <w:rPr>
          <w:rFonts w:ascii="Consolas" w:hAnsi="Consolas"/>
          <w:color w:val="9A3412"/>
          <w:sz w:val="18"/>
        </w:rPr>
        <w:t>Presentacion QR SLJ1</w:t>
      </w:r>
      <w:r>
        <w:t xml:space="preserve">. Tras la fusión se recomienda re-ejecutar </w:t>
      </w:r>
      <w:r>
        <w:rPr>
          <w:rFonts w:ascii="Consolas" w:hAnsi="Consolas"/>
          <w:color w:val="9A3412"/>
          <w:sz w:val="18"/>
        </w:rPr>
        <w:t>/graphify</w:t>
      </w:r>
      <w:r>
        <w:t xml:space="preserve"> para incorporar la API, el firmware y estos documentos.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