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· Modelo de datos</w:t>
      </w:r>
    </w:p>
    <w:p>
      <w:r>
        <w:t xml:space="preserve">Fuente: </w:t>
      </w:r>
      <w:r>
        <w:rPr>
          <w:rFonts w:ascii="Consolas" w:hAnsi="Consolas"/>
          <w:color w:val="9A3412"/>
          <w:sz w:val="18"/>
        </w:rPr>
        <w:t>db/migrations/000001</w:t>
      </w:r>
      <w:r>
        <w:t>–</w:t>
      </w:r>
      <w:r>
        <w:rPr>
          <w:rFonts w:ascii="Consolas" w:hAnsi="Consolas"/>
          <w:color w:val="9A3412"/>
          <w:sz w:val="18"/>
        </w:rPr>
        <w:t>000006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760720" cy="3769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delo-datos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06-modelo-datos-1</w:t>
      </w:r>
    </w:p>
    <w:p>
      <w:pPr>
        <w:pStyle w:val="Heading2"/>
      </w:pPr>
      <w:r>
        <w:t>Reglas</w:t>
      </w:r>
    </w:p>
    <w:p>
      <w:pPr>
        <w:pStyle w:val="ListBullet"/>
      </w:pPr>
      <w:r>
        <w:rPr>
          <w:rFonts w:ascii="Consolas" w:hAnsi="Consolas"/>
          <w:color w:val="9A3412"/>
          <w:sz w:val="18"/>
        </w:rPr>
        <w:t>events</w:t>
      </w:r>
      <w:r>
        <w:t xml:space="preserve"> no guarda nombre ni teléfono: solo handle, terminal, atributo, resultado, emergencia y hora. La API filtra por el dueño del handle.</w:t>
      </w:r>
    </w:p>
    <w:p>
      <w:pPr>
        <w:pStyle w:val="ListBullet"/>
      </w:pPr>
      <w:r>
        <w:t>El comercio ve totales agregados (</w:t>
      </w:r>
      <w:r>
        <w:rPr>
          <w:rFonts w:ascii="Consolas" w:hAnsi="Consolas"/>
          <w:color w:val="9A3412"/>
          <w:sz w:val="18"/>
        </w:rPr>
        <w:t>/api/commerce/summary</w:t>
      </w:r>
      <w:r>
        <w:t xml:space="preserve">, </w:t>
      </w:r>
      <w:r>
        <w:rPr>
          <w:rFonts w:ascii="Consolas" w:hAnsi="Consolas"/>
          <w:color w:val="9A3412"/>
          <w:sz w:val="18"/>
        </w:rPr>
        <w:t>/api/stats</w:t>
      </w:r>
      <w:r>
        <w:t>), nunca handles.</w:t>
      </w:r>
    </w:p>
    <w:p>
      <w:pPr>
        <w:pStyle w:val="ListBullet"/>
      </w:pPr>
      <w:r>
        <w:t xml:space="preserve">Retención: </w:t>
      </w:r>
      <w:r>
        <w:rPr>
          <w:rFonts w:ascii="Consolas" w:hAnsi="Consolas"/>
          <w:color w:val="9A3412"/>
          <w:sz w:val="18"/>
        </w:rPr>
        <w:t>cmd/retention</w:t>
      </w:r>
      <w:r>
        <w:t xml:space="preserve"> borra eventos de más de 30 días (</w:t>
      </w:r>
      <w:r>
        <w:rPr>
          <w:rFonts w:ascii="Consolas" w:hAnsi="Consolas"/>
          <w:color w:val="9A3412"/>
          <w:sz w:val="18"/>
        </w:rPr>
        <w:t>RETENTION_DAYS</w:t>
      </w:r>
      <w:r>
        <w:t>), códigos vencidos y solicitudes viejas.</w:t>
      </w:r>
    </w:p>
    <w:p>
      <w:pPr>
        <w:pStyle w:val="ListBullet"/>
      </w:pPr>
      <w:r>
        <w:t>Revocar una cédula (</w:t>
      </w:r>
      <w:r>
        <w:rPr>
          <w:rFonts w:ascii="Consolas" w:hAnsi="Consolas"/>
          <w:color w:val="9A3412"/>
          <w:sz w:val="18"/>
        </w:rPr>
        <w:t>cards.status = 'revocada'</w:t>
      </w:r>
      <w:r>
        <w:t xml:space="preserve">) borra sus </w:t>
      </w:r>
      <w:r>
        <w:rPr>
          <w:rFonts w:ascii="Consolas" w:hAnsi="Consolas"/>
          <w:color w:val="9A3412"/>
          <w:sz w:val="18"/>
        </w:rPr>
        <w:t>wallet_credentials</w:t>
      </w:r>
      <w:r>
        <w:t>.</w:t>
      </w:r>
    </w:p>
    <w:p>
      <w:pPr>
        <w:pStyle w:val="ListBullet"/>
      </w:pPr>
      <w:r>
        <w:t xml:space="preserve">Un </w:t>
      </w:r>
      <w:r>
        <w:rPr>
          <w:rFonts w:ascii="Consolas" w:hAnsi="Consolas"/>
          <w:color w:val="9A3412"/>
          <w:sz w:val="18"/>
        </w:rPr>
        <w:t>terminals.token_hash</w:t>
      </w:r>
      <w:r>
        <w:t xml:space="preserve"> nunca almacena el token en claro; el token se muestra una sola vez al crear.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