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· Seguridad y privacidad</w:t>
      </w:r>
    </w:p>
    <w:p>
      <w:pPr>
        <w:pStyle w:val="Heading2"/>
      </w:pPr>
      <w:r>
        <w:t>Principios</w:t>
      </w:r>
    </w:p>
    <w:p>
      <w:pPr>
        <w:pStyle w:val="ListNumber"/>
      </w:pPr>
      <w:r>
        <w:rPr>
          <w:b/>
        </w:rPr>
        <w:t>Sabe más, muestra menos:</w:t>
      </w:r>
      <w:r>
        <w:t xml:space="preserve"> el chip guarda varios atributos, pero cada terminal solo puede abrir los sectores de su rol y solo pide uno.</w:t>
      </w:r>
    </w:p>
    <w:p>
      <w:pPr>
        <w:pStyle w:val="ListNumber"/>
      </w:pPr>
      <w:r>
        <w:rPr>
          <w:b/>
        </w:rPr>
        <w:t>Minimización:</w:t>
      </w:r>
      <w:r>
        <w:t xml:space="preserve"> el comercio recibe un código de resultado, nunca datos personales; los eventos usan un handle seudónimo.</w:t>
      </w:r>
    </w:p>
    <w:p>
      <w:pPr>
        <w:pStyle w:val="ListNumber"/>
      </w:pPr>
      <w:r>
        <w:rPr>
          <w:b/>
        </w:rPr>
        <w:t>Transparencia hacia el ciudadano:</w:t>
      </w:r>
      <w:r>
        <w:t xml:space="preserve"> cada lectura, aprobada o denegada, llega por WhatsApp y al historial.</w:t>
      </w:r>
    </w:p>
    <w:p>
      <w:pPr>
        <w:pStyle w:val="ListNumber"/>
      </w:pPr>
      <w:r>
        <w:rPr>
          <w:b/>
        </w:rPr>
        <w:t>Control del ciudadano:</w:t>
      </w:r>
      <w:r>
        <w:t xml:space="preserve"> consentimiento en la Nextion (salvo emergencia, que siempre notifica), bloqueo con un toque.</w:t>
      </w:r>
    </w:p>
    <w:p>
      <w:pPr>
        <w:pStyle w:val="Heading2"/>
      </w:pPr>
      <w:r>
        <w:t>Control de acceso por sector</w:t>
      </w:r>
    </w:p>
    <w:p>
      <w:r>
        <w:t xml:space="preserve">La clave A de cada sector decide qué rol lo lee; la clave B (solo el emisor) permite escribir. Un terminal de bar no puede leer salud aunque lo intente: obtiene </w:t>
      </w:r>
      <w:r>
        <w:rPr>
          <w:rFonts w:ascii="Consolas" w:hAnsi="Consolas"/>
          <w:color w:val="9A3412"/>
          <w:sz w:val="18"/>
        </w:rPr>
        <w:t>05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Sectores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3216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Lee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Índice (versión y handle)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Todos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2–3 / 4–5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A1 / A2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Comercio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6–8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A3 Identidad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Registro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9–10 / 11–12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A4 / A5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Salud, emergencia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13–14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Salud, tránsito</w:t>
            </w:r>
          </w:p>
        </w:tc>
      </w:tr>
    </w:tbl>
    <w:p/>
    <w:p>
      <w:pPr>
        <w:pStyle w:val="Heading2"/>
      </w:pPr>
      <w:r>
        <w:t>Modelo de amenazas (STRIDE)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Amenaza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2412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Spoofing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Tarjeta clonada o copiada a otra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UID dentro de la firma; MIFARE clonable es una limitación declarada del prototipo; la billetera usa desafío firmado cada ≤30 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02</w:t>
            </w:r>
            <w:r>
              <w:rPr>
                <w:sz w:val="18"/>
              </w:rPr>
              <w:t>; aviso al dueño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Tampering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Alterar bytes de la tarjeta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Firma ECDSA del emisor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02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Tampering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Abrir la carcasa del terminal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 xml:space="preserve">PIC corta el lector; </w:t>
            </w:r>
            <w:r>
              <w:rPr>
                <w:rFonts w:ascii="Consolas" w:hAnsi="Consolas"/>
                <w:color w:val="9A3412"/>
                <w:sz w:val="18"/>
              </w:rPr>
              <w:t>tamper</w:t>
            </w:r>
            <w:r>
              <w:rPr>
                <w:sz w:val="18"/>
              </w:rPr>
              <w:t xml:space="preserve"> y alerta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Terminal bloqueado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Repudiation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"Yo no usé mi cédula"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Historial y avisos con hora de Venezuela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Evidencia para el ciudadano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Information disclosure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Terminal pide más datos de los que debe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 xml:space="preserve">Claves por sector, </w:t>
            </w:r>
            <w:r>
              <w:rPr>
                <w:rFonts w:ascii="Consolas" w:hAnsi="Consolas"/>
                <w:color w:val="9A3412"/>
                <w:sz w:val="18"/>
              </w:rPr>
              <w:t>05</w:t>
            </w:r>
            <w:r>
              <w:rPr>
                <w:sz w:val="18"/>
              </w:rPr>
              <w:t>, aviso "no se compartió nada"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Sin fuga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Information disclosure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Un ciudadano consulta datos de otro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Todas las consultas filtran por la sesión; pruebas con dos cuentas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403/vacío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Information disclosure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Rastreo por el servidor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Handle seudónimo, retención 30 días; E2E cifrado en la hoja de ruta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Riesgo residual declarado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Denial of service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Webhook falso de Kapso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Firma HMAC-SHA256 e idempotencia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401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Elevation of privilege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Token de terminal robado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Solo hashes en la base; revocable borrando el terminal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 xml:space="preserve">Acceso limitado a </w:t>
            </w:r>
            <w:r>
              <w:rPr>
                <w:rFonts w:ascii="Consolas" w:hAnsi="Consolas"/>
                <w:color w:val="9A3412"/>
                <w:sz w:val="18"/>
              </w:rPr>
              <w:t>events</w:t>
            </w:r>
            <w:r>
              <w:rPr>
                <w:sz w:val="18"/>
              </w:rPr>
              <w:t xml:space="preserve"> y config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Elevation of privilege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CSRF desde otro origen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color w:val="9A3412"/>
                <w:sz w:val="18"/>
              </w:rPr>
              <w:t>CORS_ORIGINS</w:t>
            </w:r>
            <w:r>
              <w:rPr>
                <w:sz w:val="18"/>
              </w:rPr>
              <w:t xml:space="preserve"> exacto, rechazo 403 de mutaciones foráneas, cookie </w:t>
            </w:r>
            <w:r>
              <w:rPr>
                <w:rFonts w:ascii="Consolas" w:hAnsi="Consolas"/>
                <w:color w:val="9A3412"/>
                <w:sz w:val="18"/>
              </w:rPr>
              <w:t>SameSite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Bloqueado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Replay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Reusar un QR capturado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Ventana de ±30 s y anti-repetición por atributo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Rechazado</w:t>
            </w:r>
          </w:p>
        </w:tc>
      </w:tr>
    </w:tbl>
    <w:p/>
    <w:p>
      <w:pPr>
        <w:pStyle w:val="Heading2"/>
      </w:pPr>
      <w:r>
        <w:t>Secretos</w:t>
      </w:r>
    </w:p>
    <w:p>
      <w:r>
        <w:t>Claves privadas de los emisores solo como variables de entorno (</w:t>
      </w:r>
      <w:r>
        <w:rPr>
          <w:rFonts w:ascii="Consolas" w:hAnsi="Consolas"/>
          <w:color w:val="9A3412"/>
          <w:sz w:val="18"/>
        </w:rPr>
        <w:t>ISSUER_NACIONAL_KEY</w:t>
      </w:r>
      <w:r>
        <w:t xml:space="preserve">, </w:t>
      </w:r>
      <w:r>
        <w:rPr>
          <w:rFonts w:ascii="Consolas" w:hAnsi="Consolas"/>
          <w:color w:val="9A3412"/>
          <w:sz w:val="18"/>
        </w:rPr>
        <w:t>ISSUER_UNIVERSIDAD_KEY</w:t>
      </w:r>
      <w:r>
        <w:t xml:space="preserve">); </w:t>
      </w:r>
      <w:r>
        <w:rPr>
          <w:rFonts w:ascii="Consolas" w:hAnsi="Consolas"/>
          <w:color w:val="9A3412"/>
          <w:sz w:val="18"/>
        </w:rPr>
        <w:t>secrets/</w:t>
      </w:r>
      <w:r>
        <w:t xml:space="preserve">, </w:t>
      </w:r>
      <w:r>
        <w:rPr>
          <w:rFonts w:ascii="Consolas" w:hAnsi="Consolas"/>
          <w:color w:val="9A3412"/>
          <w:sz w:val="18"/>
        </w:rPr>
        <w:t>.env*</w:t>
      </w:r>
      <w:r>
        <w:t xml:space="preserve"> y </w:t>
      </w:r>
      <w:r>
        <w:rPr>
          <w:rFonts w:ascii="Consolas" w:hAnsi="Consolas"/>
          <w:color w:val="9A3412"/>
          <w:sz w:val="18"/>
        </w:rPr>
        <w:t>*.key</w:t>
      </w:r>
      <w:r>
        <w:t xml:space="preserve"> están en </w:t>
      </w:r>
      <w:r>
        <w:rPr>
          <w:rFonts w:ascii="Consolas" w:hAnsi="Consolas"/>
          <w:color w:val="9A3412"/>
          <w:sz w:val="18"/>
        </w:rPr>
        <w:t>.gitignore</w:t>
      </w:r>
      <w:r>
        <w:t>. En el repositorio solo hay claves públicas (</w:t>
      </w:r>
      <w:r>
        <w:rPr>
          <w:rFonts w:ascii="Consolas" w:hAnsi="Consolas"/>
          <w:color w:val="9A3412"/>
          <w:sz w:val="18"/>
        </w:rPr>
        <w:t>keys/</w:t>
      </w:r>
      <w:r>
        <w:t>). Las claves de Kapso y el secreto del webhook viven en Render.</w:t>
      </w:r>
    </w:p>
    <w:p>
      <w:pPr>
        <w:pStyle w:val="Heading2"/>
      </w:pPr>
      <w:r>
        <w:t>Limitaciones conocidas (hoja de ruta)</w:t>
      </w:r>
    </w:p>
    <w:p>
      <w:r>
        <w:t>Chip seguro real con autenticación activa, biometría y foto contra préstamo de cédula, historial cifrado de extremo a extremo, presentaciones no vinculables, registro público de terminales.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