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before="320" w:after="80"/>
      </w:pPr>
      <w:r>
        <w:rPr>
          <w:rFonts w:ascii="Calibri" w:hAnsi="Calibri"/>
          <w:b/>
          <w:i w:val="0"/>
          <w:color w:val="000000"/>
          <w:sz w:val="46"/>
        </w:rPr>
        <w:t>PROJECT MEMO</w:t>
      </w:r>
    </w:p>
    <w:p>
      <w:pPr>
        <w:spacing w:after="240"/>
      </w:pPr>
      <w:r>
        <w:rPr>
          <w:rFonts w:ascii="Calibri" w:hAnsi="Calibri"/>
          <w:b w:val="0"/>
          <w:i w:val="0"/>
          <w:color w:val="373737"/>
          <w:sz w:val="28"/>
        </w:rPr>
        <w:t>Cost Detective - Kubernetes Efficiency Analysis Dashboard</w:t>
      </w:r>
    </w:p>
    <w:p>
      <w:pPr>
        <w:spacing w:after="40"/>
      </w:pPr>
      <w:r>
        <w:rPr>
          <w:rFonts w:ascii="Calibri" w:hAnsi="Calibri"/>
          <w:b/>
          <w:i w:val="0"/>
          <w:color w:val="000000"/>
          <w:sz w:val="22"/>
        </w:rPr>
        <w:t xml:space="preserve">To: </w:t>
      </w:r>
      <w:r>
        <w:rPr>
          <w:rFonts w:ascii="Calibri" w:hAnsi="Calibri"/>
          <w:b w:val="0"/>
          <w:i w:val="0"/>
          <w:color w:val="000000"/>
          <w:sz w:val="22"/>
        </w:rPr>
        <w:t>Project stakeholders and technical reviewers</w:t>
      </w:r>
    </w:p>
    <w:p>
      <w:pPr>
        <w:spacing w:after="40"/>
      </w:pPr>
      <w:r>
        <w:rPr>
          <w:rFonts w:ascii="Calibri" w:hAnsi="Calibri"/>
          <w:b/>
          <w:i w:val="0"/>
          <w:color w:val="000000"/>
          <w:sz w:val="22"/>
        </w:rPr>
        <w:t xml:space="preserve">From: </w:t>
      </w:r>
      <w:r>
        <w:rPr>
          <w:rFonts w:ascii="Calibri" w:hAnsi="Calibri"/>
          <w:b w:val="0"/>
          <w:i w:val="0"/>
          <w:color w:val="000000"/>
          <w:sz w:val="22"/>
        </w:rPr>
        <w:t>Codex project assistant</w:t>
      </w:r>
    </w:p>
    <w:p>
      <w:pPr>
        <w:spacing w:after="40"/>
      </w:pPr>
      <w:r>
        <w:rPr>
          <w:rFonts w:ascii="Calibri" w:hAnsi="Calibri"/>
          <w:b/>
          <w:i w:val="0"/>
          <w:color w:val="000000"/>
          <w:sz w:val="22"/>
        </w:rPr>
        <w:t xml:space="preserve">Date: </w:t>
      </w:r>
      <w:r>
        <w:rPr>
          <w:rFonts w:ascii="Calibri" w:hAnsi="Calibri"/>
          <w:b w:val="0"/>
          <w:i w:val="0"/>
          <w:color w:val="000000"/>
          <w:sz w:val="22"/>
        </w:rPr>
        <w:t>June 8, 2026</w:t>
      </w:r>
    </w:p>
    <w:p>
      <w:pPr>
        <w:spacing w:after="40"/>
      </w:pPr>
      <w:r>
        <w:rPr>
          <w:rFonts w:ascii="Calibri" w:hAnsi="Calibri"/>
          <w:b/>
          <w:i w:val="0"/>
          <w:color w:val="000000"/>
          <w:sz w:val="22"/>
        </w:rPr>
        <w:t xml:space="preserve">Re: </w:t>
      </w:r>
      <w:r>
        <w:rPr>
          <w:rFonts w:ascii="Calibri" w:hAnsi="Calibri"/>
          <w:b w:val="0"/>
          <w:i w:val="0"/>
          <w:color w:val="000000"/>
          <w:sz w:val="22"/>
        </w:rPr>
        <w:t>Project status, architecture, and next delivery priorities</w:t>
      </w:r>
    </w:p>
    <w:p>
      <w:pPr>
        <w:spacing w:after="40"/>
      </w:pPr>
      <w:r>
        <w:rPr>
          <w:rFonts w:ascii="Calibri" w:hAnsi="Calibri"/>
          <w:b/>
          <w:i w:val="0"/>
          <w:color w:val="000000"/>
          <w:sz w:val="22"/>
        </w:rPr>
        <w:t xml:space="preserve">Status: </w:t>
      </w:r>
      <w:r>
        <w:rPr>
          <w:rFonts w:ascii="Calibri" w:hAnsi="Calibri"/>
          <w:b w:val="0"/>
          <w:i w:val="0"/>
          <w:color w:val="000000"/>
          <w:sz w:val="22"/>
        </w:rPr>
        <w:t>Active development / MVP preview</w:t>
      </w:r>
    </w:p>
    <w:p>
      <w:pPr>
        <w:spacing w:after="240"/>
        <w:pBdr>
          <w:bottom w:val="single" w:sz="12" w:space="8" w:color="2E74B5"/>
        </w:pBdr>
      </w:pPr>
    </w:p>
    <w:p>
      <w:pPr>
        <w:spacing w:before="0" w:after="160"/>
        <w:ind w:left="160" w:right="160"/>
        <w:shd w:fill="F4F6F9"/>
        <w:pBdr>
          <w:top w:val="single" w:sz="4" w:space="6" w:color="C8D2DE"/>
          <w:left w:val="single" w:sz="4" w:space="6" w:color="C8D2DE"/>
          <w:bottom w:val="single" w:sz="4" w:space="6" w:color="C8D2DE"/>
          <w:right w:val="single" w:sz="4" w:space="6" w:color="C8D2DE"/>
        </w:pBdr>
      </w:pPr>
      <w:r>
        <w:rPr>
          <w:rFonts w:ascii="Calibri" w:hAnsi="Calibri"/>
          <w:b/>
          <w:color w:val="0B2545"/>
          <w:sz w:val="22"/>
        </w:rPr>
        <w:t xml:space="preserve">Recommendation: </w:t>
      </w:r>
      <w:r>
        <w:rPr>
          <w:rFonts w:ascii="Calibri" w:hAnsi="Calibri"/>
          <w:color w:val="000000"/>
          <w:sz w:val="22"/>
        </w:rPr>
        <w:t>Continue treating Cost Detective as an MVP preview with a strong DevOps foundation. The next increment should connect more dashboard panels to live API data, harden Prometheus error handling, and make cost estimation explicit enough for repeatable demos.</w:t>
      </w:r>
    </w:p>
    <w:p>
      <w:pPr>
        <w:spacing w:after="20"/>
      </w:pPr>
    </w:p>
    <w:p>
      <w:pPr>
        <w:pStyle w:val="Heading1"/>
        <w:keepNext/>
      </w:pPr>
      <w:r>
        <w:t>Executive Summary</w:t>
      </w:r>
    </w:p>
    <w:p>
      <w:pPr>
        <w:spacing w:after="120"/>
      </w:pPr>
      <w:r>
        <w:t>Cost Detective is a developer-friendly dashboard for surfacing Kubernetes workload behavior, autoscaling configuration, resource efficiency, and infrastructure cost waste. The repository already demonstrates a credible platform engineering stack: a Next.js dashboard, FastAPI service, PostgreSQL-backed historical snapshots, Docker Compose environments, Helm deployment assets, and GitHub Actions for test, build, and GHCR publish workflows.</w:t>
      </w:r>
    </w:p>
    <w:p>
      <w:pPr>
        <w:spacing w:after="120"/>
      </w:pPr>
      <w:r>
        <w:t>The project is best positioned as an MVP and learning/demo environment rather than a production optimization platform today. It contains live Kubernetes and Prometheus integration points, but several dashboard areas still use mock or placeholder data while the API and persistence layer mature.</w:t>
      </w:r>
    </w:p>
    <w:p>
      <w:pPr>
        <w:pStyle w:val="Heading1"/>
        <w:keepNext/>
      </w:pPr>
      <w:r>
        <w:t>Current Product Shape</w:t>
      </w:r>
    </w:p>
    <w:p>
      <w:pPr>
        <w:spacing w:after="120"/>
      </w:pPr>
      <w:r>
        <w:t>The user-facing experience is organized around a single dashboard view. It presents cluster health, summary cards, monitoring guidance, CPU trend space, resource waste findings, efficiency scoring, inefficient workload ranking, optimization suggestions, database history, deployment details, HPA status, and a preview cost panel.</w:t>
      </w:r>
    </w:p>
    <w:p>
      <w:pPr>
        <w:pStyle w:val="ListBullet"/>
        <w:spacing w:after="160" w:line="280" w:lineRule="auto"/>
        <w:ind w:left="720" w:hanging="360"/>
      </w:pPr>
      <w:r>
        <w:t>Core analysis is centered on requested versus observed resource usage, missing CPU or memory requests, and HPA condition checks.</w:t>
      </w:r>
    </w:p>
    <w:p>
      <w:pPr>
        <w:pStyle w:val="ListBullet"/>
        <w:spacing w:after="160" w:line="280" w:lineRule="auto"/>
        <w:ind w:left="720" w:hanging="360"/>
      </w:pPr>
      <w:r>
        <w:t>Historical analysis is represented through PostgreSQL snapshots that store namespace, timestamp, and finding count.</w:t>
      </w:r>
    </w:p>
    <w:p>
      <w:pPr>
        <w:pStyle w:val="ListBullet"/>
        <w:spacing w:after="160" w:line="280" w:lineRule="auto"/>
        <w:ind w:left="720" w:hanging="360"/>
      </w:pPr>
      <w:r>
        <w:t>The demo Kubernetes environment includes the web app, API, and burner workload for autoscaling demonstrations.</w:t>
      </w:r>
    </w:p>
    <w:p>
      <w:pPr>
        <w:pStyle w:val="ListBullet"/>
        <w:spacing w:after="160" w:line="280" w:lineRule="auto"/>
        <w:ind w:left="720" w:hanging="360"/>
      </w:pPr>
      <w:r>
        <w:t>The project documentation clearly flags some panels as example or preview data pending live metrics integration.</w:t>
      </w:r>
    </w:p>
    <w:p>
      <w:pPr>
        <w:pStyle w:val="Heading1"/>
        <w:keepNext/>
      </w:pPr>
      <w:r>
        <w:t>Architecture Snapshot</w:t>
      </w:r>
    </w:p>
    <w:tbl>
      <w:tblPr>
        <w:tblW w:type="auto" w:w="0"/>
        <w:tblLayout w:type="fixed"/>
        <w:tblLook w:firstColumn="1" w:firstRow="1" w:lastColumn="0" w:lastRow="0" w:noHBand="0" w:noVBand="1" w:val="04A0"/>
        <w:tblW w:w="9360" w:type="dxa"/>
        <w:jc w:val="left"/>
        <w:tblInd w:w="120" w:type="dxa"/>
        <w:tblLayout w:type="fixed"/>
        <w:tblW w:w="9360" w:type="dxa"/>
        <w:tblInd w:w="120" w:type="dxa"/>
        <w:tblLayout w:type="fixed"/>
      </w:tblPr>
      <w:tblGrid>
        <w:gridCol w:w="1900"/>
        <w:gridCol w:w="2900"/>
        <w:gridCol w:w="4560"/>
      </w:tblGrid>
      <w:tr>
        <w:trPr>
          <w:tblHeader w:val="true"/>
        </w:trPr>
        <w:tc>
          <w:tcPr>
            <w:tcW w:type="dxa" w:w="3120"/>
            <w:vAlign w:val="center"/>
            <w:tcMar>
              <w:top w:w="80" w:type="dxa"/>
              <w:start w:w="120" w:type="dxa"/>
              <w:bottom w:w="80" w:type="dxa"/>
              <w:end w:w="120" w:type="dxa"/>
              <w:top w:w="80" w:type="dxa"/>
              <w:start w:w="120" w:type="dxa"/>
              <w:bottom w:w="80" w:type="dxa"/>
              <w:end w:w="120" w:type="dxa"/>
            </w:tcMar>
            <w:tcW w:w="1900" w:type="dxa"/>
            <w:shd w:fill="F2F4F7"/>
            <w:tcW w:w="1900" w:type="dxa"/>
          </w:tcPr>
          <w:p>
            <w:r>
              <w:rPr>
                <w:rFonts w:ascii="Calibri" w:hAnsi="Calibri"/>
                <w:b/>
                <w:i w:val="0"/>
                <w:color w:val="0B2545"/>
                <w:sz w:val="21"/>
              </w:rPr>
              <w:t>Layer</w:t>
            </w:r>
          </w:p>
        </w:tc>
        <w:tc>
          <w:tcPr>
            <w:tcW w:type="dxa" w:w="3120"/>
            <w:vAlign w:val="center"/>
            <w:tcMar>
              <w:top w:w="80" w:type="dxa"/>
              <w:start w:w="120" w:type="dxa"/>
              <w:bottom w:w="80" w:type="dxa"/>
              <w:end w:w="120" w:type="dxa"/>
              <w:top w:w="80" w:type="dxa"/>
              <w:start w:w="120" w:type="dxa"/>
              <w:bottom w:w="80" w:type="dxa"/>
              <w:end w:w="120" w:type="dxa"/>
            </w:tcMar>
            <w:tcW w:w="2900" w:type="dxa"/>
            <w:shd w:fill="F2F4F7"/>
            <w:tcW w:w="2900" w:type="dxa"/>
          </w:tcPr>
          <w:p>
            <w:r>
              <w:rPr>
                <w:rFonts w:ascii="Calibri" w:hAnsi="Calibri"/>
                <w:b/>
                <w:i w:val="0"/>
                <w:color w:val="0B2545"/>
                <w:sz w:val="21"/>
              </w:rPr>
              <w:t>Component</w:t>
            </w:r>
          </w:p>
        </w:tc>
        <w:tc>
          <w:tcPr>
            <w:tcW w:type="dxa" w:w="3120"/>
            <w:vAlign w:val="center"/>
            <w:tcMar>
              <w:top w:w="80" w:type="dxa"/>
              <w:start w:w="120" w:type="dxa"/>
              <w:bottom w:w="80" w:type="dxa"/>
              <w:end w:w="120" w:type="dxa"/>
              <w:top w:w="80" w:type="dxa"/>
              <w:start w:w="120" w:type="dxa"/>
              <w:bottom w:w="80" w:type="dxa"/>
              <w:end w:w="120" w:type="dxa"/>
            </w:tcMar>
            <w:tcW w:w="4560" w:type="dxa"/>
            <w:shd w:fill="F2F4F7"/>
            <w:tcW w:w="4560" w:type="dxa"/>
          </w:tcPr>
          <w:p>
            <w:r>
              <w:rPr>
                <w:rFonts w:ascii="Calibri" w:hAnsi="Calibri"/>
                <w:b/>
                <w:i w:val="0"/>
                <w:color w:val="0B2545"/>
                <w:sz w:val="21"/>
              </w:rPr>
              <w:t>Role in the system</w:t>
            </w:r>
          </w:p>
        </w:tc>
      </w:tr>
      <w:tr>
        <w:tc>
          <w:tcPr>
            <w:tcW w:type="dxa" w:w="1900"/>
            <w:vAlign w:val="center"/>
            <w:tcMar>
              <w:top w:w="80" w:type="dxa"/>
              <w:start w:w="120" w:type="dxa"/>
              <w:bottom w:w="80" w:type="dxa"/>
              <w:end w:w="120" w:type="dxa"/>
            </w:tcMar>
            <w:tcW w:w="1900" w:type="dxa"/>
          </w:tcPr>
          <w:p>
            <w:pPr>
              <w:spacing w:after="0"/>
            </w:pPr>
            <w:r>
              <w:rPr>
                <w:rFonts w:ascii="Calibri" w:hAnsi="Calibri"/>
                <w:b/>
                <w:i w:val="0"/>
                <w:color w:val="000000"/>
                <w:sz w:val="20"/>
              </w:rPr>
              <w:t>Frontend</w:t>
            </w:r>
          </w:p>
        </w:tc>
        <w:tc>
          <w:tcPr>
            <w:tcW w:type="dxa" w:w="2900"/>
            <w:vAlign w:val="center"/>
            <w:tcMar>
              <w:top w:w="80" w:type="dxa"/>
              <w:start w:w="120" w:type="dxa"/>
              <w:bottom w:w="80" w:type="dxa"/>
              <w:end w:w="120" w:type="dxa"/>
            </w:tcMar>
            <w:tcW w:w="2900" w:type="dxa"/>
          </w:tcPr>
          <w:p>
            <w:pPr>
              <w:spacing w:after="0"/>
            </w:pPr>
            <w:r>
              <w:rPr>
                <w:rFonts w:ascii="Calibri" w:hAnsi="Calibri"/>
                <w:b w:val="0"/>
                <w:i w:val="0"/>
                <w:color w:val="000000"/>
                <w:sz w:val="20"/>
              </w:rPr>
              <w:t>Next.js dashboard</w:t>
            </w:r>
          </w:p>
        </w:tc>
        <w:tc>
          <w:tcPr>
            <w:tcW w:type="dxa" w:w="4560"/>
            <w:vAlign w:val="center"/>
            <w:tcMar>
              <w:top w:w="80" w:type="dxa"/>
              <w:start w:w="120" w:type="dxa"/>
              <w:bottom w:w="80" w:type="dxa"/>
              <w:end w:w="120" w:type="dxa"/>
            </w:tcMar>
            <w:tcW w:w="4560" w:type="dxa"/>
          </w:tcPr>
          <w:p>
            <w:pPr>
              <w:spacing w:after="0"/>
            </w:pPr>
            <w:r>
              <w:rPr>
                <w:rFonts w:ascii="Calibri" w:hAnsi="Calibri"/>
                <w:b w:val="0"/>
                <w:i w:val="0"/>
                <w:color w:val="000000"/>
                <w:sz w:val="20"/>
              </w:rPr>
              <w:t>Renders the MVP dashboard, calls API endpoints, and presents cluster, workload, HPA, history, and cost preview panels.</w:t>
            </w:r>
          </w:p>
        </w:tc>
      </w:tr>
      <w:tr>
        <w:tc>
          <w:tcPr>
            <w:tcW w:type="dxa" w:w="1900"/>
            <w:vAlign w:val="center"/>
            <w:tcMar>
              <w:top w:w="80" w:type="dxa"/>
              <w:start w:w="120" w:type="dxa"/>
              <w:bottom w:w="80" w:type="dxa"/>
              <w:end w:w="120" w:type="dxa"/>
            </w:tcMar>
            <w:tcW w:w="1900" w:type="dxa"/>
          </w:tcPr>
          <w:p>
            <w:pPr>
              <w:spacing w:after="0"/>
            </w:pPr>
            <w:r>
              <w:rPr>
                <w:rFonts w:ascii="Calibri" w:hAnsi="Calibri"/>
                <w:b/>
                <w:i w:val="0"/>
                <w:color w:val="000000"/>
                <w:sz w:val="20"/>
              </w:rPr>
              <w:t>Backend</w:t>
            </w:r>
          </w:p>
        </w:tc>
        <w:tc>
          <w:tcPr>
            <w:tcW w:type="dxa" w:w="2900"/>
            <w:vAlign w:val="center"/>
            <w:tcMar>
              <w:top w:w="80" w:type="dxa"/>
              <w:start w:w="120" w:type="dxa"/>
              <w:bottom w:w="80" w:type="dxa"/>
              <w:end w:w="120" w:type="dxa"/>
            </w:tcMar>
            <w:tcW w:w="2900" w:type="dxa"/>
          </w:tcPr>
          <w:p>
            <w:pPr>
              <w:spacing w:after="0"/>
            </w:pPr>
            <w:r>
              <w:rPr>
                <w:rFonts w:ascii="Calibri" w:hAnsi="Calibri"/>
                <w:b w:val="0"/>
                <w:i w:val="0"/>
                <w:color w:val="000000"/>
                <w:sz w:val="20"/>
              </w:rPr>
              <w:t>FastAPI service</w:t>
            </w:r>
          </w:p>
        </w:tc>
        <w:tc>
          <w:tcPr>
            <w:tcW w:type="dxa" w:w="4560"/>
            <w:vAlign w:val="center"/>
            <w:tcMar>
              <w:top w:w="80" w:type="dxa"/>
              <w:start w:w="120" w:type="dxa"/>
              <w:bottom w:w="80" w:type="dxa"/>
              <w:end w:w="120" w:type="dxa"/>
            </w:tcMar>
            <w:tcW w:w="4560" w:type="dxa"/>
          </w:tcPr>
          <w:p>
            <w:pPr>
              <w:spacing w:after="0"/>
            </w:pPr>
            <w:r>
              <w:rPr>
                <w:rFonts w:ascii="Calibri" w:hAnsi="Calibri"/>
                <w:b w:val="0"/>
                <w:i w:val="0"/>
                <w:color w:val="000000"/>
                <w:sz w:val="20"/>
              </w:rPr>
              <w:t>Serves findings, status, Prometheus summary metrics, load-control endpoints, health checks, and snapshot persistence.</w:t>
            </w:r>
          </w:p>
        </w:tc>
      </w:tr>
      <w:tr>
        <w:tc>
          <w:tcPr>
            <w:tcW w:type="dxa" w:w="1900"/>
            <w:vAlign w:val="center"/>
            <w:tcMar>
              <w:top w:w="80" w:type="dxa"/>
              <w:start w:w="120" w:type="dxa"/>
              <w:bottom w:w="80" w:type="dxa"/>
              <w:end w:w="120" w:type="dxa"/>
            </w:tcMar>
            <w:tcW w:w="1900" w:type="dxa"/>
          </w:tcPr>
          <w:p>
            <w:pPr>
              <w:spacing w:after="0"/>
            </w:pPr>
            <w:r>
              <w:rPr>
                <w:rFonts w:ascii="Calibri" w:hAnsi="Calibri"/>
                <w:b/>
                <w:i w:val="0"/>
                <w:color w:val="000000"/>
                <w:sz w:val="20"/>
              </w:rPr>
              <w:t>Data</w:t>
            </w:r>
          </w:p>
        </w:tc>
        <w:tc>
          <w:tcPr>
            <w:tcW w:type="dxa" w:w="2900"/>
            <w:vAlign w:val="center"/>
            <w:tcMar>
              <w:top w:w="80" w:type="dxa"/>
              <w:start w:w="120" w:type="dxa"/>
              <w:bottom w:w="80" w:type="dxa"/>
              <w:end w:w="120" w:type="dxa"/>
            </w:tcMar>
            <w:tcW w:w="2900" w:type="dxa"/>
          </w:tcPr>
          <w:p>
            <w:pPr>
              <w:spacing w:after="0"/>
            </w:pPr>
            <w:r>
              <w:rPr>
                <w:rFonts w:ascii="Calibri" w:hAnsi="Calibri"/>
                <w:b w:val="0"/>
                <w:i w:val="0"/>
                <w:color w:val="000000"/>
                <w:sz w:val="20"/>
              </w:rPr>
              <w:t>PostgreSQL + Alembic</w:t>
            </w:r>
          </w:p>
        </w:tc>
        <w:tc>
          <w:tcPr>
            <w:tcW w:type="dxa" w:w="4560"/>
            <w:vAlign w:val="center"/>
            <w:tcMar>
              <w:top w:w="80" w:type="dxa"/>
              <w:start w:w="120" w:type="dxa"/>
              <w:bottom w:w="80" w:type="dxa"/>
              <w:end w:w="120" w:type="dxa"/>
            </w:tcMar>
            <w:tcW w:w="4560" w:type="dxa"/>
          </w:tcPr>
          <w:p>
            <w:pPr>
              <w:spacing w:after="0"/>
            </w:pPr>
            <w:r>
              <w:rPr>
                <w:rFonts w:ascii="Calibri" w:hAnsi="Calibri"/>
                <w:b w:val="0"/>
                <w:i w:val="0"/>
                <w:color w:val="000000"/>
                <w:sz w:val="20"/>
              </w:rPr>
              <w:t>Stores analysis snapshots and supports repeatable test setup through migrations and seed data.</w:t>
            </w:r>
          </w:p>
        </w:tc>
      </w:tr>
      <w:tr>
        <w:tc>
          <w:tcPr>
            <w:tcW w:type="dxa" w:w="1900"/>
            <w:vAlign w:val="center"/>
            <w:tcMar>
              <w:top w:w="80" w:type="dxa"/>
              <w:start w:w="120" w:type="dxa"/>
              <w:bottom w:w="80" w:type="dxa"/>
              <w:end w:w="120" w:type="dxa"/>
            </w:tcMar>
            <w:tcW w:w="1900" w:type="dxa"/>
          </w:tcPr>
          <w:p>
            <w:pPr>
              <w:spacing w:after="0"/>
            </w:pPr>
            <w:r>
              <w:rPr>
                <w:rFonts w:ascii="Calibri" w:hAnsi="Calibri"/>
                <w:b/>
                <w:i w:val="0"/>
                <w:color w:val="000000"/>
                <w:sz w:val="20"/>
              </w:rPr>
              <w:t>Runtime</w:t>
            </w:r>
          </w:p>
        </w:tc>
        <w:tc>
          <w:tcPr>
            <w:tcW w:type="dxa" w:w="2900"/>
            <w:vAlign w:val="center"/>
            <w:tcMar>
              <w:top w:w="80" w:type="dxa"/>
              <w:start w:w="120" w:type="dxa"/>
              <w:bottom w:w="80" w:type="dxa"/>
              <w:end w:w="120" w:type="dxa"/>
            </w:tcMar>
            <w:tcW w:w="2900" w:type="dxa"/>
          </w:tcPr>
          <w:p>
            <w:pPr>
              <w:spacing w:after="0"/>
            </w:pPr>
            <w:r>
              <w:rPr>
                <w:rFonts w:ascii="Calibri" w:hAnsi="Calibri"/>
                <w:b w:val="0"/>
                <w:i w:val="0"/>
                <w:color w:val="000000"/>
                <w:sz w:val="20"/>
              </w:rPr>
              <w:t>Docker Compose</w:t>
            </w:r>
          </w:p>
        </w:tc>
        <w:tc>
          <w:tcPr>
            <w:tcW w:type="dxa" w:w="4560"/>
            <w:vAlign w:val="center"/>
            <w:tcMar>
              <w:top w:w="80" w:type="dxa"/>
              <w:start w:w="120" w:type="dxa"/>
              <w:bottom w:w="80" w:type="dxa"/>
              <w:end w:w="120" w:type="dxa"/>
            </w:tcMar>
            <w:tcW w:w="4560" w:type="dxa"/>
          </w:tcPr>
          <w:p>
            <w:pPr>
              <w:spacing w:after="0"/>
            </w:pPr>
            <w:r>
              <w:rPr>
                <w:rFonts w:ascii="Calibri" w:hAnsi="Calibri"/>
                <w:b w:val="0"/>
                <w:i w:val="0"/>
                <w:color w:val="000000"/>
                <w:sz w:val="20"/>
              </w:rPr>
              <w:t>Provides dev/test/prod Compose overlays, isolated branch environments, health checks, and test execution targets.</w:t>
            </w:r>
          </w:p>
        </w:tc>
      </w:tr>
      <w:tr>
        <w:tc>
          <w:tcPr>
            <w:tcW w:type="dxa" w:w="1900"/>
            <w:vAlign w:val="center"/>
            <w:tcMar>
              <w:top w:w="80" w:type="dxa"/>
              <w:start w:w="120" w:type="dxa"/>
              <w:bottom w:w="80" w:type="dxa"/>
              <w:end w:w="120" w:type="dxa"/>
            </w:tcMar>
            <w:tcW w:w="1900" w:type="dxa"/>
          </w:tcPr>
          <w:p>
            <w:pPr>
              <w:spacing w:after="0"/>
            </w:pPr>
            <w:r>
              <w:rPr>
                <w:rFonts w:ascii="Calibri" w:hAnsi="Calibri"/>
                <w:b/>
                <w:i w:val="0"/>
                <w:color w:val="000000"/>
                <w:sz w:val="20"/>
              </w:rPr>
              <w:t>Kubernetes</w:t>
            </w:r>
          </w:p>
        </w:tc>
        <w:tc>
          <w:tcPr>
            <w:tcW w:type="dxa" w:w="2900"/>
            <w:vAlign w:val="center"/>
            <w:tcMar>
              <w:top w:w="80" w:type="dxa"/>
              <w:start w:w="120" w:type="dxa"/>
              <w:bottom w:w="80" w:type="dxa"/>
              <w:end w:w="120" w:type="dxa"/>
            </w:tcMar>
            <w:tcW w:w="2900" w:type="dxa"/>
          </w:tcPr>
          <w:p>
            <w:pPr>
              <w:spacing w:after="0"/>
            </w:pPr>
            <w:r>
              <w:rPr>
                <w:rFonts w:ascii="Calibri" w:hAnsi="Calibri"/>
                <w:b w:val="0"/>
                <w:i w:val="0"/>
                <w:color w:val="000000"/>
                <w:sz w:val="20"/>
              </w:rPr>
              <w:t>Helm + k3d</w:t>
            </w:r>
          </w:p>
        </w:tc>
        <w:tc>
          <w:tcPr>
            <w:tcW w:type="dxa" w:w="4560"/>
            <w:vAlign w:val="center"/>
            <w:tcMar>
              <w:top w:w="80" w:type="dxa"/>
              <w:start w:w="120" w:type="dxa"/>
              <w:bottom w:w="80" w:type="dxa"/>
              <w:end w:w="120" w:type="dxa"/>
            </w:tcMar>
            <w:tcW w:w="4560" w:type="dxa"/>
          </w:tcPr>
          <w:p>
            <w:pPr>
              <w:spacing w:after="0"/>
            </w:pPr>
            <w:r>
              <w:rPr>
                <w:rFonts w:ascii="Calibri" w:hAnsi="Calibri"/>
                <w:b w:val="0"/>
                <w:i w:val="0"/>
                <w:color w:val="000000"/>
                <w:sz w:val="20"/>
              </w:rPr>
              <w:t>Deploys web, API, burner workload, resource requests/limits, and HPA configuration for local platform demos.</w:t>
            </w:r>
          </w:p>
        </w:tc>
      </w:tr>
      <w:tr>
        <w:tc>
          <w:tcPr>
            <w:tcW w:type="dxa" w:w="1900"/>
            <w:vAlign w:val="center"/>
            <w:tcMar>
              <w:top w:w="80" w:type="dxa"/>
              <w:start w:w="120" w:type="dxa"/>
              <w:bottom w:w="80" w:type="dxa"/>
              <w:end w:w="120" w:type="dxa"/>
            </w:tcMar>
            <w:tcW w:w="1900" w:type="dxa"/>
          </w:tcPr>
          <w:p>
            <w:pPr>
              <w:spacing w:after="0"/>
            </w:pPr>
            <w:r>
              <w:rPr>
                <w:rFonts w:ascii="Calibri" w:hAnsi="Calibri"/>
                <w:b/>
                <w:i w:val="0"/>
                <w:color w:val="000000"/>
                <w:sz w:val="20"/>
              </w:rPr>
              <w:t>Delivery</w:t>
            </w:r>
          </w:p>
        </w:tc>
        <w:tc>
          <w:tcPr>
            <w:tcW w:type="dxa" w:w="2900"/>
            <w:vAlign w:val="center"/>
            <w:tcMar>
              <w:top w:w="80" w:type="dxa"/>
              <w:start w:w="120" w:type="dxa"/>
              <w:bottom w:w="80" w:type="dxa"/>
              <w:end w:w="120" w:type="dxa"/>
            </w:tcMar>
            <w:tcW w:w="2900" w:type="dxa"/>
          </w:tcPr>
          <w:p>
            <w:pPr>
              <w:spacing w:after="0"/>
            </w:pPr>
            <w:r>
              <w:rPr>
                <w:rFonts w:ascii="Calibri" w:hAnsi="Calibri"/>
                <w:b w:val="0"/>
                <w:i w:val="0"/>
                <w:color w:val="000000"/>
                <w:sz w:val="20"/>
              </w:rPr>
              <w:t>GitHub Actions + GHCR</w:t>
            </w:r>
          </w:p>
        </w:tc>
        <w:tc>
          <w:tcPr>
            <w:tcW w:type="dxa" w:w="4560"/>
            <w:vAlign w:val="center"/>
            <w:tcMar>
              <w:top w:w="80" w:type="dxa"/>
              <w:start w:w="120" w:type="dxa"/>
              <w:bottom w:w="80" w:type="dxa"/>
              <w:end w:w="120" w:type="dxa"/>
            </w:tcMar>
            <w:tcW w:w="4560" w:type="dxa"/>
          </w:tcPr>
          <w:p>
            <w:pPr>
              <w:spacing w:after="0"/>
            </w:pPr>
            <w:r>
              <w:rPr>
                <w:rFonts w:ascii="Calibri" w:hAnsi="Calibri"/>
                <w:b w:val="0"/>
                <w:i w:val="0"/>
                <w:color w:val="000000"/>
                <w:sz w:val="20"/>
              </w:rPr>
              <w:t>Validates Compose environments, runs Dockerized API/web tests, builds images, and publishes tagged images on push.</w:t>
            </w:r>
          </w:p>
        </w:tc>
      </w:tr>
    </w:tbl>
    <w:p>
      <w:pPr>
        <w:pStyle w:val="Heading1"/>
        <w:keepNext/>
      </w:pPr>
      <w:r>
        <w:t>Delivery Readiness</w:t>
      </w:r>
    </w:p>
    <w:p>
      <w:pPr>
        <w:spacing w:after="120"/>
      </w:pPr>
      <w:r>
        <w:t>The project has useful delivery discipline for its stage. The Makefile exposes common paths for Compose environments, database migration and seeding, API tests, web linting, image building, k3d image import, Helm deploys, and port forwarding. CI validates dev, test, and production Compose configuration, runs Dockerized tests, builds production images, and publishes API and web images to GHCR for push events.</w:t>
      </w:r>
    </w:p>
    <w:p>
      <w:pPr>
        <w:spacing w:after="120"/>
      </w:pPr>
      <w:r>
        <w:t>Remaining readiness work is mostly about tightening data contracts and reducing placeholder behavior. The dashboard currently renders a rich interface, while some server-side functions still return empty arrays or preview values. That is acceptable for a demo, but should be made explicit in release notes and issue tracking so reviewers distinguish implemented integrations from concept panels.</w:t>
      </w:r>
    </w:p>
    <w:p>
      <w:pPr>
        <w:pStyle w:val="Heading1"/>
        <w:keepNext/>
      </w:pPr>
      <w:r>
        <w:t>Key Risks and Gaps</w:t>
      </w:r>
    </w:p>
    <w:p>
      <w:pPr>
        <w:pStyle w:val="ListBullet"/>
        <w:spacing w:after="160" w:line="280" w:lineRule="auto"/>
        <w:ind w:left="720" w:hanging="360"/>
      </w:pPr>
      <w:r>
        <w:t>Prometheus summary calls have limited failure isolation; unavailable metrics infrastructure can degrade dashboard completeness.</w:t>
      </w:r>
    </w:p>
    <w:p>
      <w:pPr>
        <w:pStyle w:val="ListBullet"/>
        <w:spacing w:after="160" w:line="280" w:lineRule="auto"/>
        <w:ind w:left="720" w:hanging="360"/>
      </w:pPr>
      <w:r>
        <w:t>Cost insight is still a preview and needs a transparent pricing model, unit assumptions, and validation examples.</w:t>
      </w:r>
    </w:p>
    <w:p>
      <w:pPr>
        <w:pStyle w:val="ListBullet"/>
        <w:spacing w:after="160" w:line="280" w:lineRule="auto"/>
        <w:ind w:left="720" w:hanging="360"/>
      </w:pPr>
      <w:r>
        <w:t>Dashboard snapshot rendering is not yet fully connected to the API snapshot endpoint in the page implementation.</w:t>
      </w:r>
    </w:p>
    <w:p>
      <w:pPr>
        <w:pStyle w:val="ListBullet"/>
        <w:spacing w:after="160" w:line="280" w:lineRule="auto"/>
        <w:ind w:left="720" w:hanging="360"/>
      </w:pPr>
      <w:r>
        <w:t>Analysis rules are useful but narrow; deeper rightsizing recommendations will need richer CPU, memory, replica, and time-window evidence.</w:t>
      </w:r>
    </w:p>
    <w:p>
      <w:pPr>
        <w:pStyle w:val="ListBullet"/>
        <w:spacing w:after="160" w:line="280" w:lineRule="auto"/>
        <w:ind w:left="720" w:hanging="360"/>
      </w:pPr>
      <w:r>
        <w:t>The product boundary between mock, demo, and live Kubernetes data should stay visible in the UI and documentation.</w:t>
      </w:r>
    </w:p>
    <w:p>
      <w:pPr>
        <w:pStyle w:val="Heading1"/>
        <w:keepNext/>
      </w:pPr>
      <w:r>
        <w:t>Recommended Next Increment</w:t>
      </w:r>
    </w:p>
    <w:p>
      <w:pPr>
        <w:spacing w:after="120"/>
      </w:pPr>
      <w:r>
        <w:t>The next increment should focus on turning the MVP preview into a more coherent live-data demo. A practical target would be a short release that proves the full loop: collect live metrics, produce findings, persist snapshots, render the historical trend, and explain savings assumptions in the dashboard.</w:t>
      </w:r>
    </w:p>
    <w:p>
      <w:pPr>
        <w:pStyle w:val="ListBullet"/>
        <w:spacing w:after="160" w:line="280" w:lineRule="auto"/>
        <w:ind w:left="720" w:hanging="360"/>
      </w:pPr>
      <w:r>
        <w:t>Wire the dashboard Analysis Snapshots panel to /api/snapshots and add a small trend view using seeded and live data.</w:t>
      </w:r>
    </w:p>
    <w:p>
      <w:pPr>
        <w:pStyle w:val="ListBullet"/>
        <w:spacing w:after="160" w:line="280" w:lineRule="auto"/>
        <w:ind w:left="720" w:hanging="360"/>
      </w:pPr>
      <w:r>
        <w:t>Add API response schemas or shared TypeScript contracts for findings, status, summaries, and snapshots.</w:t>
      </w:r>
    </w:p>
    <w:p>
      <w:pPr>
        <w:pStyle w:val="ListBullet"/>
        <w:spacing w:after="160" w:line="280" w:lineRule="auto"/>
        <w:ind w:left="720" w:hanging="360"/>
      </w:pPr>
      <w:r>
        <w:t>Wrap Prometheus queries with per-metric fallback behavior so one missing metric does not blank the whole summary experience.</w:t>
      </w:r>
    </w:p>
    <w:p>
      <w:pPr>
        <w:pStyle w:val="ListBullet"/>
        <w:spacing w:after="160" w:line="280" w:lineRule="auto"/>
        <w:ind w:left="720" w:hanging="360"/>
      </w:pPr>
      <w:r>
        <w:t>Document mock versus live modes in a short operator guide, including required Kubernetes components and environment variables.</w:t>
      </w:r>
    </w:p>
    <w:p>
      <w:pPr>
        <w:pStyle w:val="ListBullet"/>
        <w:spacing w:after="160" w:line="280" w:lineRule="auto"/>
        <w:ind w:left="720" w:hanging="360"/>
      </w:pPr>
      <w:r>
        <w:t>Expand tests around rule generation, snapshot persistence, and dashboard route handlers that proxy or transform cluster data.</w:t>
      </w:r>
    </w:p>
    <w:p>
      <w:pPr>
        <w:pStyle w:val="Heading1"/>
        <w:keepNext/>
      </w:pPr>
      <w:r>
        <w:t>Conclusion</w:t>
      </w:r>
    </w:p>
    <w:p>
      <w:pPr>
        <w:spacing w:after="120"/>
      </w:pPr>
      <w:r>
        <w:t>Cost Detective already communicates a clear platform engineering story: show hidden Kubernetes inefficiency through a clean dashboard and back it with realistic deployment mechanics. The project should keep its current MVP framing, then prioritize live-data consistency, cost-model transparency, and test coverage around the API-to-dashboard contract. That sequence will make the demo more convincing without prematurely overbuilding the product surface.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26E"/>
        <w:sz w:val="18"/>
      </w:rPr>
      <w:t xml:space="preserve">Cost Detective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i w:val="0"/>
        <w:color w:val="5A626E"/>
        <w:sz w:val="18"/>
      </w:rPr>
      <w:t>Project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Detective Project Memo</dc:title>
  <dc:subject>Project status, architecture, and delivery priorities</dc:subject>
  <dc:creator>Codex</dc:creator>
  <cp:keywords>Cost Detective, Kubernetes, project memo, DevOps, dashboard</cp:keywords>
  <dc:description>generated by python-docx</dc:description>
  <cp:lastModifiedBy/>
  <cp:revision>1</cp:revision>
  <dcterms:created xsi:type="dcterms:W3CDTF">2013-12-23T23:15:00Z</dcterms:created>
  <dcterms:modified xsi:type="dcterms:W3CDTF">2013-12-23T23:15:00Z</dcterms:modified>
  <cp:category/>
</cp:coreProperties>
</file>