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6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087E8B"/>
          <w:sz w:val="22"/>
          <w:szCs w:val="22"/>
        </w:rPr>
        <w:t xml:space="preserve">BWAT SEKREM ONLINE</w:t>
      </w:r>
    </w:p>
    <w:p>
      <w:pPr>
        <w:pStyle w:val="Normal"/>
        <w:spacing w:after="9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2304A"/>
          <w:sz w:val="56"/>
          <w:szCs w:val="56"/>
        </w:rPr>
        <w:t xml:space="preserve">Documentation globale et architecture</w:t>
      </w:r>
    </w:p>
    <w:p>
      <w:pPr>
        <w:pStyle w:val="Normal"/>
        <w:spacing w:after="30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B6573"/>
          <w:sz w:val="28"/>
          <w:szCs w:val="28"/>
        </w:rPr>
        <w:t xml:space="preserve">Référence technique du Portail BSO</w:t>
      </w:r>
    </w:p>
    <w:tbl>
      <w:tblPr>
        <w:tblW w:type="dxa" w:w="9360"/>
        <w:tblInd w:type="dxa" w:w="1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  <w:tblLayout w:type="fixed"/>
        <w:tblCellMar>
          <w:top w:type="dxa" w:w="100"/>
          <w:bottom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Documentation technique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Révision auditée — 23 août 2026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Périmètre</w:t>
            </w:r>
          </w:p>
        </w:tc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Portail interne BSO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Statut</w:t>
            </w:r>
          </w:p>
        </w:tc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Document de référence à valider</w:t>
            </w:r>
          </w:p>
        </w:tc>
      </w:tr>
    </w:tbl>
    <w:p>
      <w:pPr>
        <w:pStyle w:val="Normal"/>
        <w:spacing w:after="100" w:before="32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4"/>
          <w:szCs w:val="24"/>
        </w:rPr>
        <w:t xml:space="preserve">Contenu du document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Architecture PWA et composants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Modèle de données et règles financières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Synchronisation hors ligne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Contrôle d’accès et état vérifié</w:t>
      </w:r>
    </w:p>
    <w:p>
      <w:pPr>
        <w:pStyle w:val="Normal"/>
        <w:spacing w:after="0" w:before="340" w:line="276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5B6573"/>
          <w:sz w:val="18"/>
          <w:szCs w:val="18"/>
        </w:rPr>
        <w:t xml:space="preserve">Préparé pour revue du projet — ce document décrit exclusivement le portail interne BSO.</w:t>
      </w:r>
    </w:p>
    <w:p>
      <w:pPr>
        <w:pageBreakBefore/>
        <w:spacing w:after="0" w:before="0"/>
      </w:pP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72B4D"/>
          <w:sz w:val="21"/>
          <w:szCs w:val="21"/>
        </w:rPr>
        <w:t xml:space="preserve">Organisation 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Bwat Sekrem Online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72B4D"/>
          <w:sz w:val="21"/>
          <w:szCs w:val="21"/>
        </w:rPr>
        <w:t xml:space="preserve">Application 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Portail BSO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72B4D"/>
          <w:sz w:val="21"/>
          <w:szCs w:val="21"/>
        </w:rPr>
        <w:t xml:space="preserve">Type 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application web progressive (PWA) avec fonctionnement hors ligne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72B4D"/>
          <w:sz w:val="21"/>
          <w:szCs w:val="21"/>
        </w:rPr>
        <w:t xml:space="preserve">Révision auditée 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23 août 2026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1. Présentation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Portail BSO est l’outil opérationnel interne de Bwat Sekrem Online utilisé pour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enregistrer et retrouver les clients;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gérer les comptes d’épargne et de crédit;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saisir les opérations réalisées sur le terrain;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travailler temporairement sans connexion Internet;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synchroniser les opérations avec Supabase;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rapprocher les opérations numériques du cash physique;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valider ou rejeter les encaissements;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produire des rapports par agent et par période;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contrôler les accès et conserver une piste d’audit.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2. Architecture générale</w:t>
      </w:r>
    </w:p>
    <w:p>
      <w:pPr>
        <w:pStyle w:val="Normal"/>
        <w:spacing w:after="60" w:before="0" w:line="276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5B6573"/>
          <w:sz w:val="18"/>
          <w:szCs w:val="18"/>
        </w:rPr>
        <w:t xml:space="preserve">Schéma 1 — Vue d’ensemble du Portail BSO</w:t>
      </w:r>
    </w:p>
    <w:p>
      <w:pPr>
        <w:spacing w:after="140" w:before="0"/>
        <w:jc w:val="center"/>
      </w:pPr>
      <w:r>
        <w:drawing>
          <wp:inline distT="0" distB="0" distL="0" distR="0">
            <wp:extent cx="542925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160" w:before="0" w:line="276"/>
        <w:jc w:val="left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17"/>
          <w:szCs w:val="17"/>
        </w:rPr>
        <w:t xml:space="preserve">Utilisateur BSO
      |
      v
Frontend PWA React + TypeScript
      |
      +-- IndexedDB / Dexie
      |     Données locales et file de synchronisation
      |
      +-- Service Worker / Workbox
      |     Application et ressources disponibles hors ligne
      |
      +-- Service de synchronisation
            |
            v
Supabase
  - Authentification
  - PostgreSQL
  - Row Level Security (RLS)
  - Fonctions RPC
  - Triggers de calcul et d’audit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Composants vérifiés</w:t>
      </w:r>
    </w:p>
    <w:tbl>
      <w:tblPr>
        <w:tblW w:type="dxa" w:w="9360"/>
        <w:tblInd w:type="dxa" w:w="1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  <w:tblLayout w:type="fixed"/>
        <w:tblCellMar>
          <w:top w:type="dxa" w:w="100"/>
          <w:bottom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Couche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Technologie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Utilité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Interface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React 19.2, TypeScript, Tailwind CSS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Écrans, formulaires et navigation responsive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Construction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Vite 6.4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Compilation et livraison du frontend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Mode PWA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Workbox, </w:t>
            </w:r>
            <w:r>
              <w:rPr>
                <w:rFonts w:ascii="Cascadia Mono" w:cs="Cascadia Mono" w:eastAsia="Cascadia Mono" w:hAnsi="Cascadia Mono"/>
                <w:b w:val="false"/>
                <w:bCs w:val="false"/>
                <w:i w:val="false"/>
                <w:iCs w:val="false"/>
                <w:color w:val="1F4D78"/>
                <w:sz w:val="17"/>
                <w:szCs w:val="17"/>
              </w:rPr>
              <w:t xml:space="preserve">vite-plugin-pwa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Cache applicatif et fonctionnement déconnecté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Base locale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Dexie sur IndexedDB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Données métier locales et file d’attente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État applicatif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Session et profil actif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Auth, PostgreSQL, API, RPC et RLS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Vitest et tests SQL transactionnels</w:t>
            </w:r>
          </w:p>
        </w:tc>
        <w:tc>
          <w:tcPr>
            <w:tcW w:type="dxa" w:w="31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Régression applicative et base de données</w:t>
            </w:r>
          </w:p>
        </w:tc>
      </w:tr>
    </w:tbl>
    <w:p>
      <w:pPr>
        <w:pStyle w:val="Normal"/>
        <w:spacing w:after="1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/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3. Données principales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`profiles`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Associe un utilisateur Supabase à son rôle BSO.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Champs structurants :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user_id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email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firstname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name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role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Rôles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1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Admin;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2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Manager;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3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Agent;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4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Non défini, accès bloqué;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5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Finance.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`personnes`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Fiches clients : identité, coordonnées, identification, activité, statut et auteur de création. La clé métier est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id_personne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;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code_client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sert de référence opérationnelle.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`comptes_epargne`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Comptes associés aux clients. Ils peuvent représenter l’épargne, le fonds de garantie ou GranDon. Les principaux champs sont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id_compte_epargne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id_personne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no_compte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categorie_compte_epargne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solde_actuel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statut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et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created_by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`transactions_epargne`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Opérations possibles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dépôt;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retrait;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V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virement;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FL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frais de livret;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FA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frais auto;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frais de service.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entrées de cash soumises au contrôle Finance utilisent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validation_status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pending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confirmed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ou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rejected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`comptes_credit`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Dossiers de crédit associés aux clients : principal prêté, taux, durée, paiement prévu, montant final, paiements cumulés, montant restant et type de produit.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montant final attendu suit la règle actuellement testée :</w:t>
      </w:r>
    </w:p>
    <w:p>
      <w:pPr>
        <w:pStyle w:val="Normal"/>
        <w:spacing w:after="160" w:before="0" w:line="276"/>
        <w:jc w:val="left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17"/>
          <w:szCs w:val="17"/>
        </w:rPr>
        <w:t xml:space="preserve">montant_final = montant_prete × (1 + taux_interet / 100 × duree_credit_mois)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`transactions_credit`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Enregistre notamment les paiements, pénalités et garanties. Les paiements collectés suivent le même protocole de validation Finance que les dépôts.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Accès et contrôle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invitation_codes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codes d’inscription à usage unique;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temporary_access_grants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dérogations temporaires attribuées aux Agents;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tables et vues d’audit : historique des accès et actions sensibles;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active_sessions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ou mécanisme équivalent : suivi de la session active par appareil.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4. Fonctionnement hors ligne</w:t>
      </w:r>
    </w:p>
    <w:p>
      <w:pPr>
        <w:pStyle w:val="Normal"/>
        <w:spacing w:after="60" w:before="0" w:line="276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5B6573"/>
          <w:sz w:val="18"/>
          <w:szCs w:val="18"/>
        </w:rPr>
        <w:t xml:space="preserve">Schéma 2 — Cycle de synchronisation hors ligne</w:t>
      </w:r>
    </w:p>
    <w:p>
      <w:pPr>
        <w:spacing w:after="140" w:before="0"/>
        <w:jc w:val="center"/>
      </w:pPr>
      <w:r>
        <w:drawing>
          <wp:inline distT="0" distB="0" distL="0" distR="0">
            <wp:extent cx="54292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Téléchargement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Quand une connexion est disponible, l’application télécharge les données autorisées depuis Supabase et les conserve dans IndexedDB. L’Agent doit effectuer cette opération avant de partir dans une zone sans réseau.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Saisie locale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Une création, modification ou suppression réalisée hors ligne met à jour Dexie et ajoute une instruction dans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syncQueue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Chaque élément de la file contient notamment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table concernée;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l’action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add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update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ou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delete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l’identifiant de la ressource;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données à transmettre;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statut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pending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failed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ou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completed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nombre de nouvelles tentatives.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Fusion avant envoi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Si une donnée nouvellement créée est corrigée avant sa première synchronisation, la correction est fusionnée dans l’ajout initial. Avant l’envoi, le service relit aussi la version locale la plus récente.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Synchronisation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Lorsque le réseau revient :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éléments sont ordonnés selon leurs dépendances;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champs locaux non reconnus par Supabase sont retirés;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opérations sont envoyées;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erreurs sont conservées pour une nouvelle tentative;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données serveur peuvent être téléchargées pour actualiser le poste.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Une synchronisation réussie ne signifie pas nécessairement qu’un dépôt ou paiement est comptablement validé. Une opération peut être présente sur Supabase tout en restant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pending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5. Validation financière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Cash physique collecté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Total Cash sert au rapprochement avec l’argent physiquement remis par l’Agent. Il inclut les transactions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pending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et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confirmed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, car le cash a déjà été collecté sur le terrain. Une transaction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rejected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est exclue.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formule actuellement implémentée est :</w:t>
      </w:r>
    </w:p>
    <w:p>
      <w:pPr>
        <w:pStyle w:val="Normal"/>
        <w:spacing w:after="160" w:before="0" w:line="276"/>
        <w:jc w:val="left"/>
      </w:pP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17"/>
          <w:szCs w:val="17"/>
        </w:rPr>
        <w:t xml:space="preserve">Total Cash =
  dépôts Épargne
  + dépôts Fonds Garantie
  + dépôts GranDon
  - retraits Épargne
  - retraits des autres catégories
  + frais de livret
  + paiements de crédit
  + pénalités de crédit
  + monnaie client
  - remises client
  + frais de dossier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Précisions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report du solde initial d’un ancien carnet n’est pas un encaissement du jour;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frais de service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ne sont pas inclus dans cette formule;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décaissement d’un nouveau crédit est affiché à titre informatif et n’est pas soustrait du Total Cash historique;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montants en attente sont présentés séparément afin que Finance sache ce qui reste à rapprocher.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Solde comptable officiel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Total Cash et le solde d’un compte ne représentent pas la même chose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Total Cash suit l’argent physiquement collecté;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solde officiel est calculé et protégé côté PostgreSQL;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un dépôt ou paiement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pending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ne modifie pas encore le solde officiel;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sa validation applique le montant;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son rejet l’écarte;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un retrait d’épargne est traité immédiatement selon les règles serveur.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6. Contrôle d’accès</w:t>
      </w:r>
    </w:p>
    <w:tbl>
      <w:tblPr>
        <w:tblW w:type="dxa" w:w="9360"/>
        <w:tblInd w:type="dxa" w:w="1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  <w:tblLayout w:type="fixed"/>
        <w:tblCellMar>
          <w:top w:type="dxa" w:w="100"/>
          <w:bottom w:type="dxa" w:w="10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Lecture des données métier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Modification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Invitations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Validation et rapports globaux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Admin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Toutes les ressources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Manager, Agent, Finance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Manager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Toutes les ressources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Manager, Agent, Finance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Finance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Toutes les ressources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Agent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Seulement avec un accès temporaire actif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Données autorisées par l’interface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 défini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87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</w:tr>
    </w:tbl>
    <w:p>
      <w:pPr>
        <w:pStyle w:val="Normal"/>
        <w:spacing w:after="1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/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Aucun code d’invitation ne peut créer un Admin. La création ou promotion d’un Admin doit passer par une procédure technique exceptionnelle, contrôlée et auditée.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contrôles existent à deux niveaux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l’interface masque ou désactive les actions non autorisées;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politiques RLS et fonctions PostgreSQL refusent les appels directs non autorisés.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base ne dépend donc pas uniquement des boutons visibles dans l’application.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7. Inscription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Admin et Manager peuvent générer des codes pour les rôles Manager, Agent et Finance. Le code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suit le format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BSO-XXXX-XXXX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expire après 1 à 30 jours;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est utilisable une seule fois;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est consommé côté serveur pendant la création du compte;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attribue automatiquement le rôle prévu.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rôle Admin est interdit dans cette fonction, y compris si quelqu’un tente d’appeler directement l’API.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8. Déconnexion et confidentialité locale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À la déconnexion, le portail supprime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base métier Dexie;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file d’attente de synchronisation;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l’historique local de synchronisation;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informations d’authentification hors ligne;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jetons de session Supabase;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caches d’API et d’images pouvant contenir des données utilisateur.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ressources statiques nécessaires au chargement de la PWA et les références non sensibles peuvent rester en cache.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Si des opérations ne sont pas synchronisées, une confirmation avertit l’utilisateur qu’elles seront perdues. Annuler la confirmation conserve la session et les données.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9. État vérifié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Au 23 août 2026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TypeScript compile sans erreur;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33 tests applicatifs passent;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20 scénarios SQL passent dans des transactions annulées;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build PWA de production réussit;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l’audit des dépendances de production indique 0 vulnérabilité connue;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tables métier n’ont plus de politique publique;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écritures sont protégées par les rôles et les accès temporaires;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RPC sensibles d’invitation sont interdites au rôle anonyme.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frontend modifié doit encore faire l’objet d’une recette humaine puis d’un déploiement contrôlé. Le terme « prêt pour production » ne doit être utilisé qu’après cette recette.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ptos" w:cs="Aptos" w:eastAsia="Aptos" w:hAnsi="Aptos"/>
        <w:b/>
        <w:bCs/>
        <w:i w:val="false"/>
        <w:iCs w:val="false"/>
        <w:color w:val="5B6573"/>
        <w:sz w:val="17"/>
        <w:szCs w:val="17"/>
      </w:rPr>
      <w:t xml:space="preserve">BSO Portal  |  Documentation globale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B4D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/>
    </w:pPr>
    <w:rPr>
      <w:rFonts w:ascii="Aptos" w:cs="Aptos" w:eastAsia="Aptos" w:hAnsi="Aptos"/>
      <w:color w:val="172B4D"/>
      <w:sz w:val="21"/>
      <w:szCs w:val="21"/>
    </w:rPr>
  </w:style>
  <w:style w:type="paragraph" w:styleId="Heading1">
    <w:name w:val="Heading 1"/>
    <w:basedOn w:val="Normal"/>
    <w:next w:val="Normal"/>
    <w:pPr>
      <w:keepNext/>
      <w:spacing w:after="160" w:before="320" w:line="276"/>
    </w:pPr>
    <w:rPr>
      <w:rFonts w:ascii="Aptos" w:cs="Aptos" w:eastAsia="Aptos" w:hAnsi="Aptos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40" w:line="276"/>
    </w:pPr>
    <w:rPr>
      <w:rFonts w:ascii="Aptos" w:cs="Aptos" w:eastAsia="Aptos" w:hAnsi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spacing w:after="90" w:before="180" w:line="276"/>
    </w:pPr>
    <w:rPr>
      <w:rFonts w:ascii="Aptos" w:cs="Aptos" w:eastAsia="Aptos" w:hAnsi="Aptos"/>
      <w:b/>
      <w:bCs/>
      <w:color w:val="1F4D78"/>
      <w:sz w:val="23"/>
      <w:szCs w:val="23"/>
    </w:rPr>
  </w:style>
  <w:style w:type="paragraph" w:styleId="TableText">
    <w:name w:val="Table text"/>
    <w:basedOn w:val="Normal"/>
    <w:pPr>
      <w:spacing w:after="50" w:line="240"/>
    </w:pPr>
    <w:rPr>
      <w:rFonts w:ascii="Aptos" w:cs="Aptos" w:eastAsia="Aptos" w:hAnsi="Aptos"/>
      <w:color w:val="172B4D"/>
      <w:sz w:val="17"/>
      <w:szCs w:val="17"/>
    </w:rPr>
  </w:style>
  <w:style w:type="paragraph" w:styleId="ListBullet">
    <w:name w:val="List Bullet"/>
    <w:basedOn w:val="Normal"/>
    <w:pPr>
      <w:spacing w:after="70" w:line="276"/>
      <w:ind w:left="720" w:hanging="360"/>
    </w:pPr>
    <w:rPr>
      <w:rFonts w:ascii="Aptos" w:cs="Aptos" w:eastAsia="Aptos" w:hAnsi="Aptos"/>
      <w:color w:val="172B4D"/>
      <w:sz w:val="21"/>
      <w:szCs w:val="21"/>
    </w:rPr>
  </w:style>
  <w:style w:type="paragraph" w:styleId="ListNumber">
    <w:name w:val="List Number"/>
    <w:basedOn w:val="Normal"/>
    <w:pPr>
      <w:spacing w:after="70" w:line="276"/>
      <w:ind w:left="720" w:hanging="360"/>
    </w:pPr>
    <w:rPr>
      <w:rFonts w:ascii="Aptos" w:cs="Aptos" w:eastAsia="Aptos" w:hAnsi="Aptos"/>
      <w:color w:val="172B4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3bf85fa18213943e31d74f8fb4d08c6ed1feb9.svg"/><Relationship Id="rId10" Type="http://schemas.openxmlformats.org/officeDocument/2006/relationships/image" Target="media/2115a1d881432165b3be8d5059cd4a2ba1c0f58e.png"/><Relationship Id="rId11" Type="http://schemas.openxmlformats.org/officeDocument/2006/relationships/image" Target="media/e6fa759beeee42f8debd2ef032ccad2ee12a1ab3.sv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globale et architecture</dc:title>
  <dc:subject>Documentation du Portail BSO</dc:subject>
  <dc:creator>Codex</dc:creator>
  <dc:description>Document généré à partir de la documentation auditée du Portail BSO.</dc:description>
  <cp:lastModifiedBy>Un-named</cp:lastModifiedBy>
  <cp:revision>1</cp:revision>
  <dcterms:created xsi:type="dcterms:W3CDTF">2026-08-23T20:49:21.067Z</dcterms:created>
  <dcterms:modified xsi:type="dcterms:W3CDTF">2026-08-23T20:49:21.075Z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