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  <w:spacing w:after="260" w:before="0" w:line="276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087E8B"/>
          <w:sz w:val="22"/>
          <w:szCs w:val="22"/>
        </w:rPr>
        <w:t xml:space="preserve">BWAT SEKREM ONLINE</w:t>
      </w:r>
    </w:p>
    <w:p>
      <w:pPr>
        <w:pStyle w:val="Normal"/>
        <w:spacing w:after="90" w:before="0" w:line="276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12304A"/>
          <w:sz w:val="56"/>
          <w:szCs w:val="56"/>
        </w:rPr>
        <w:t xml:space="preserve">Guide de prise en main par rôle</w:t>
      </w:r>
    </w:p>
    <w:p>
      <w:pPr>
        <w:pStyle w:val="Normal"/>
        <w:spacing w:after="30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5B6573"/>
          <w:sz w:val="28"/>
          <w:szCs w:val="28"/>
        </w:rPr>
        <w:t xml:space="preserve">Procédures opérationnelles du Portail BSO</w:t>
      </w:r>
    </w:p>
    <w:tbl>
      <w:tblPr>
        <w:tblW w:type="dxa" w:w="9360"/>
        <w:tblInd w:type="dxa" w:w="12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  <w:tblLayout w:type="fixed"/>
        <w:tblCellMar>
          <w:top w:type="dxa" w:w="100"/>
          <w:bottom w:type="dxa" w:w="10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2304A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Document</w:t>
            </w:r>
          </w:p>
        </w:tc>
        <w:tc>
          <w:tcPr>
            <w:tcW w:type="dxa" w:w="46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2304A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Guide opérateur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Révision auditée — 23 août 2026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Périmètre</w:t>
            </w:r>
          </w:p>
        </w:tc>
        <w:tc>
          <w:tcPr>
            <w:tcW w:type="dxa" w:w="46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Portail interne BSO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Statut</w:t>
            </w:r>
          </w:p>
        </w:tc>
        <w:tc>
          <w:tcPr>
            <w:tcW w:type="dxa" w:w="46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Document de référence à valider</w:t>
            </w:r>
          </w:p>
        </w:tc>
      </w:tr>
    </w:tbl>
    <w:p>
      <w:pPr>
        <w:pStyle w:val="Normal"/>
        <w:spacing w:after="100" w:before="320" w:line="276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1F4D78"/>
          <w:sz w:val="24"/>
          <w:szCs w:val="24"/>
        </w:rPr>
        <w:t xml:space="preserve">Contenu du document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Matrice des rôles et permissions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Inscription par code d’invitation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Journée type de l’Agent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Validation et rapprochement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Déconnexion sécurisée</w:t>
      </w:r>
    </w:p>
    <w:p>
      <w:pPr>
        <w:pStyle w:val="Normal"/>
        <w:spacing w:after="0" w:before="340" w:line="276"/>
        <w:jc w:val="left"/>
      </w:pPr>
      <w:r>
        <w:rPr>
          <w:rFonts w:ascii="Aptos" w:cs="Aptos" w:eastAsia="Aptos" w:hAnsi="Aptos"/>
          <w:b w:val="false"/>
          <w:bCs w:val="false"/>
          <w:i/>
          <w:iCs/>
          <w:color w:val="5B6573"/>
          <w:sz w:val="18"/>
          <w:szCs w:val="18"/>
        </w:rPr>
        <w:t xml:space="preserve">Préparé pour revue du projet — ce document décrit exclusivement le portail interne BSO.</w:t>
      </w:r>
    </w:p>
    <w:p>
      <w:pPr>
        <w:pageBreakBefore/>
        <w:spacing w:after="0" w:before="0"/>
      </w:pP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172B4D"/>
          <w:sz w:val="21"/>
          <w:szCs w:val="21"/>
        </w:rPr>
        <w:t xml:space="preserve">Public 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 Admin, Manager, Finance et Agents de terrain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172B4D"/>
          <w:sz w:val="21"/>
          <w:szCs w:val="21"/>
        </w:rPr>
        <w:t xml:space="preserve">Objet 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 utiliser le portail de manière correcte et sécurisée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172B4D"/>
          <w:sz w:val="21"/>
          <w:szCs w:val="21"/>
        </w:rPr>
        <w:t xml:space="preserve">Révision 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 23 août 2026</w:t>
      </w:r>
    </w:p>
    <w:p>
      <w:pPr>
        <w:pStyle w:val="Heading2"/>
        <w:pStyle w:val="Heading2"/>
        <w:keepNext/>
        <w:spacing w:after="120" w:before="240" w:line="276"/>
      </w:pPr>
      <w:r>
        <w:rPr>
          <w:rFonts w:ascii="Aptos" w:cs="Aptos" w:eastAsia="Aptos" w:hAnsi="Aptos"/>
          <w:b/>
          <w:bCs/>
          <w:i w:val="false"/>
          <w:iCs w:val="false"/>
          <w:color w:val="2E74B5"/>
          <w:sz w:val="26"/>
          <w:szCs w:val="26"/>
        </w:rPr>
        <w:t xml:space="preserve">1. Avant de commencer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 Portail BSO est une application interne. Chaque utilisateur doit disposer :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de son propre compte;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d’un rôle actif;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d’un appareil protégé par code ou biométrie;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d’une connexion Internet lors de la première connexion et du téléchargement initial;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d’un mot de passe qui ne doit jamais être partagé.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Les données clients et les opérations doivent être traitées uniquement dans le portail interne prévu à cet effet.</w:t>
      </w:r>
    </w:p>
    <w:p>
      <w:pPr>
        <w:pStyle w:val="Heading2"/>
        <w:pStyle w:val="Heading2"/>
        <w:keepNext/>
        <w:spacing w:after="120" w:before="240" w:line="276"/>
      </w:pPr>
      <w:r>
        <w:rPr>
          <w:rFonts w:ascii="Aptos" w:cs="Aptos" w:eastAsia="Aptos" w:hAnsi="Aptos"/>
          <w:b/>
          <w:bCs/>
          <w:i w:val="false"/>
          <w:iCs w:val="false"/>
          <w:color w:val="2E74B5"/>
          <w:sz w:val="26"/>
          <w:szCs w:val="26"/>
        </w:rPr>
        <w:t xml:space="preserve">2. Rôles et permissions</w:t>
      </w:r>
    </w:p>
    <w:tbl>
      <w:tblPr>
        <w:tblW w:type="dxa" w:w="9360"/>
        <w:tblInd w:type="dxa" w:w="12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  <w:tblLayout w:type="fixed"/>
        <w:tblCellMar>
          <w:top w:type="dxa" w:w="100"/>
          <w:bottom w:type="dxa" w:w="100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2304A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2304A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2304A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Manager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2304A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Finance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2304A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Agent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2304A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Non défini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Ouvrir le portail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Oui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Oui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Oui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Oui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Non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Consulter les données métier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Oui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Oui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Oui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Oui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Non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Créer une opération de terrain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Oui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Oui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Oui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Oui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Non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Modifier ou supprimer une ressource existante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Oui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Oui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Oui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Avec accès temporaire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Non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Voir les soldes et rapports globaux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Oui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Oui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Oui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Limité par l’interface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Non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Valider les encaissements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Oui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Oui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Oui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Non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Non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Générer un code Manager, Agent ou Finance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Oui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Oui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Non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Non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Non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Générer un code Admin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Non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Non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Non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Non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4F7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Non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Accorder un accès temporaire à un Agent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Oui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Non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Non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Non</w:t>
            </w:r>
          </w:p>
        </w:tc>
        <w:tc>
          <w:tcPr>
            <w:tcW w:type="dxa" w:w="15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bottom w:type="dxa" w:w="100"/>
            </w:tcMar>
          </w:tcPr>
          <w:p>
            <w:pPr>
              <w:pStyle w:val="TableText"/>
              <w:spacing w:after="50" w:before="0" w:line="24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72B4D"/>
                <w:sz w:val="17"/>
                <w:szCs w:val="17"/>
              </w:rPr>
              <w:t xml:space="preserve">Non</w:t>
            </w:r>
          </w:p>
        </w:tc>
      </w:tr>
    </w:tbl>
    <w:p>
      <w:pPr>
        <w:pStyle w:val="Normal"/>
        <w:spacing w:after="1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/>
      </w:r>
    </w:p>
    <w:p>
      <w:pPr>
        <w:pStyle w:val="Heading3"/>
        <w:pStyle w:val="Heading3"/>
        <w:keepNext/>
        <w:spacing w:after="90" w:before="180" w:line="276"/>
      </w:pPr>
      <w:r>
        <w:rPr>
          <w:rFonts w:ascii="Aptos" w:cs="Aptos" w:eastAsia="Aptos" w:hAnsi="Aptos"/>
          <w:b/>
          <w:bCs/>
          <w:i w:val="false"/>
          <w:iCs w:val="false"/>
          <w:color w:val="1F4D78"/>
          <w:sz w:val="23"/>
          <w:szCs w:val="23"/>
        </w:rPr>
        <w:t xml:space="preserve">À retenir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Admin, Manager et Finance disposent d’un droit global de modification des données métier.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L’Agent est principalement un opérateur de terrain. Il peut créer ses nouvelles opérations, mais doit recevoir une autorisation temporaire d’un Admin pour corriger ou supprimer une donnée existante protégée.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 rôle 4 « Non défini » est un état bloqué, pas un rôle de travail.</w:t>
      </w:r>
    </w:p>
    <w:p>
      <w:pPr>
        <w:pStyle w:val="Heading2"/>
        <w:pStyle w:val="Heading2"/>
        <w:keepNext/>
        <w:spacing w:after="120" w:before="240" w:line="276"/>
      </w:pPr>
      <w:r>
        <w:rPr>
          <w:rFonts w:ascii="Aptos" w:cs="Aptos" w:eastAsia="Aptos" w:hAnsi="Aptos"/>
          <w:b/>
          <w:bCs/>
          <w:i w:val="false"/>
          <w:iCs w:val="false"/>
          <w:color w:val="2E74B5"/>
          <w:sz w:val="26"/>
          <w:szCs w:val="26"/>
        </w:rPr>
        <w:t xml:space="preserve">3. Créer un compte par invitation</w:t>
      </w:r>
    </w:p>
    <w:p>
      <w:pPr>
        <w:pStyle w:val="Heading3"/>
        <w:pStyle w:val="Heading3"/>
        <w:keepNext/>
        <w:spacing w:after="90" w:before="180" w:line="276"/>
      </w:pPr>
      <w:r>
        <w:rPr>
          <w:rFonts w:ascii="Aptos" w:cs="Aptos" w:eastAsia="Aptos" w:hAnsi="Aptos"/>
          <w:b/>
          <w:bCs/>
          <w:i w:val="false"/>
          <w:iCs w:val="false"/>
          <w:color w:val="1F4D78"/>
          <w:sz w:val="23"/>
          <w:szCs w:val="23"/>
        </w:rPr>
        <w:t xml:space="preserve">Générer le code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Cette opération est disponible pour Admin et Manager.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Ouvrir la section des codes d’invitation.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Choisir le rôle : Manager, Agent de terrain ou Finance.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Choisir une durée de validité entre 1 et 30 jours.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Ajouter une note permettant d’identifier le destinataire.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Générer le code.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Transmettre le code au destinataire par un canal privé.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 code est à usage unique. Il ne doit pas être publié dans un groupe public ni réutilisé pour plusieurs personnes.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 rôle Admin n’est jamais proposé. Une tentative directe par API est également refusée.</w:t>
      </w:r>
    </w:p>
    <w:p>
      <w:pPr>
        <w:pStyle w:val="Heading3"/>
        <w:pStyle w:val="Heading3"/>
        <w:keepNext/>
        <w:spacing w:after="90" w:before="180" w:line="276"/>
      </w:pPr>
      <w:r>
        <w:rPr>
          <w:rFonts w:ascii="Aptos" w:cs="Aptos" w:eastAsia="Aptos" w:hAnsi="Aptos"/>
          <w:b/>
          <w:bCs/>
          <w:i w:val="false"/>
          <w:iCs w:val="false"/>
          <w:color w:val="1F4D78"/>
          <w:sz w:val="23"/>
          <w:szCs w:val="23"/>
        </w:rPr>
        <w:t xml:space="preserve">Utiliser le code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Ouvrir la page d’inscription.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Saisir le code reçu.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Compléter le prénom, le nom, l’adresse électronique et le mot de passe.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Valider l’inscription.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Vérifier que le rôle affiché correspond au rôle annoncé.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 serveur vérifie et consomme le code pendant la création du compte. Un code expiré, utilisé ou invalide doit être remplacé par un nouveau code.</w:t>
      </w:r>
    </w:p>
    <w:p>
      <w:pPr>
        <w:pStyle w:val="Heading2"/>
        <w:pStyle w:val="Heading2"/>
        <w:keepNext/>
        <w:spacing w:after="120" w:before="240" w:line="276"/>
      </w:pPr>
      <w:r>
        <w:rPr>
          <w:rFonts w:ascii="Aptos" w:cs="Aptos" w:eastAsia="Aptos" w:hAnsi="Aptos"/>
          <w:b/>
          <w:bCs/>
          <w:i w:val="false"/>
          <w:iCs w:val="false"/>
          <w:color w:val="2E74B5"/>
          <w:sz w:val="26"/>
          <w:szCs w:val="26"/>
        </w:rPr>
        <w:t xml:space="preserve">4. Première connexion sur un appareil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Se connecter avec Internet.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Vérifier le nom et le rôle affichés.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Ouvrir les paramètres de synchronisation.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Télécharger les données autorisées.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Attendre la confirmation de fin de téléchargement.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Vérifier que les clients et comptes nécessaires sont visibles.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Seulement après ces contrôles, utiliser le portail hors ligne.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Une autre personne ne doit pas réutiliser l’appareil sans déconnexion du premier utilisateur.</w:t>
      </w:r>
    </w:p>
    <w:p>
      <w:pPr>
        <w:pStyle w:val="Heading2"/>
        <w:pStyle w:val="Heading2"/>
        <w:keepNext/>
        <w:spacing w:after="120" w:before="240" w:line="276"/>
      </w:pPr>
      <w:r>
        <w:rPr>
          <w:rFonts w:ascii="Aptos" w:cs="Aptos" w:eastAsia="Aptos" w:hAnsi="Aptos"/>
          <w:b/>
          <w:bCs/>
          <w:i w:val="false"/>
          <w:iCs w:val="false"/>
          <w:color w:val="2E74B5"/>
          <w:sz w:val="26"/>
          <w:szCs w:val="26"/>
        </w:rPr>
        <w:t xml:space="preserve">5. Journée type de l’Agent</w:t>
      </w:r>
    </w:p>
    <w:p>
      <w:pPr>
        <w:pStyle w:val="Normal"/>
        <w:spacing w:after="60" w:before="0" w:line="276"/>
        <w:jc w:val="center"/>
      </w:pPr>
      <w:r>
        <w:rPr>
          <w:rFonts w:ascii="Aptos" w:cs="Aptos" w:eastAsia="Aptos" w:hAnsi="Aptos"/>
          <w:b w:val="false"/>
          <w:bCs w:val="false"/>
          <w:i/>
          <w:iCs/>
          <w:color w:val="5B6573"/>
          <w:sz w:val="18"/>
          <w:szCs w:val="18"/>
        </w:rPr>
        <w:t xml:space="preserve">Schéma 1 — Cycle de travail terrain et synchronisation</w:t>
      </w:r>
    </w:p>
    <w:p>
      <w:pPr>
        <w:spacing w:after="140" w:before="0"/>
        <w:jc w:val="center"/>
      </w:pPr>
      <w:r>
        <w:drawing>
          <wp:inline distT="0" distB="0" distL="0" distR="0">
            <wp:extent cx="542925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pStyle w:val="Heading3"/>
        <w:keepNext/>
        <w:spacing w:after="90" w:before="180" w:line="276"/>
      </w:pPr>
      <w:r>
        <w:rPr>
          <w:rFonts w:ascii="Aptos" w:cs="Aptos" w:eastAsia="Aptos" w:hAnsi="Aptos"/>
          <w:b/>
          <w:bCs/>
          <w:i w:val="false"/>
          <w:iCs w:val="false"/>
          <w:color w:val="1F4D78"/>
          <w:sz w:val="23"/>
          <w:szCs w:val="23"/>
        </w:rPr>
        <w:t xml:space="preserve">Avant le départ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connecter l’appareil à Internet;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ouvrir le portail;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contrôler la date de la dernière synchronisation;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télécharger les données si nécessaire;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vérifier qu’il n’existe pas d’élément en échec dans la file de synchronisation;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vérifier que l’appareil est suffisamment chargé.</w:t>
      </w:r>
    </w:p>
    <w:p>
      <w:pPr>
        <w:pStyle w:val="Heading3"/>
        <w:pStyle w:val="Heading3"/>
        <w:keepNext/>
        <w:spacing w:after="90" w:before="180" w:line="276"/>
      </w:pPr>
      <w:r>
        <w:rPr>
          <w:rFonts w:ascii="Aptos" w:cs="Aptos" w:eastAsia="Aptos" w:hAnsi="Aptos"/>
          <w:b/>
          <w:bCs/>
          <w:i w:val="false"/>
          <w:iCs w:val="false"/>
          <w:color w:val="1F4D78"/>
          <w:sz w:val="23"/>
          <w:szCs w:val="23"/>
        </w:rPr>
        <w:t xml:space="preserve">Sur le terrain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L’Agent peut notamment :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créer un client;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ouvrir un compte d’épargne selon les produits disponibles;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enregistrer un dépôt, un retrait, un virement ou des frais;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enregistrer un paiement ou une pénalité de crédit;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consulter son rapport et le Total Cash attendu.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#### Dépôt d’épargne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Rechercher le client et ouvrir son compte.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Sélectionner « Dépôt ».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Saisir le montant réellement reçu.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Saisir les informations déclarées demandées par le formulaire.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Vérifier le compte, la catégorie et le montant.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Enregistrer.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 dépôt est compté immédiatement dans le cash physique de l’Agent, même s’il reste en attente de validation Finance. Il ne met pas encore à jour le solde comptable officiel tant qu’il n’est pas confirmé.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#### Paiement de crédit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Ouvrir le dossier de crédit.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Sélectionner « Paiement ».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Saisir le montant reçu et le versement déclaré.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Vérifier que le paiement ne dépasse pas le restant dû.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Enregistrer.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 paiement apparaît dans le cash physique et reste </w:t>
      </w: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pending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 jusqu’au contrôle.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#### Retrait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 retrait diminue le cash détenu par l’Agent. Un retrait supérieur au solde disponible est refusé par les règles serveur.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#### Erreur après saisie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Si la donnée n’est pas encore synchronisée et que l’interface permet la correction, corriger puis vérifier la file.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Si la donnée est synchronisée ou protégée, demander un accès temporaire à un Admin.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Ne jamais contourner la procédure en créant une opération opposée sans justification.</w:t>
      </w:r>
    </w:p>
    <w:p>
      <w:pPr>
        <w:pStyle w:val="Heading3"/>
        <w:pStyle w:val="Heading3"/>
        <w:keepNext/>
        <w:spacing w:after="90" w:before="180" w:line="276"/>
      </w:pPr>
      <w:r>
        <w:rPr>
          <w:rFonts w:ascii="Aptos" w:cs="Aptos" w:eastAsia="Aptos" w:hAnsi="Aptos"/>
          <w:b/>
          <w:bCs/>
          <w:i w:val="false"/>
          <w:iCs w:val="false"/>
          <w:color w:val="1F4D78"/>
          <w:sz w:val="23"/>
          <w:szCs w:val="23"/>
        </w:rPr>
        <w:t xml:space="preserve">Retour au bureau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Reconnecter l’appareil à Internet.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Lancer la synchronisation.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Attendre que les éléments </w:t>
      </w: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pending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 de la file locale soient transmis.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Traiter tout élément </w:t>
      </w: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failed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 avant la remise de caisse.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Consulter le rapport de la période.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Compter le cash physique.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Remettre le cash avec le détail nécessaire à Finance ou au responsable.</w:t>
      </w:r>
    </w:p>
    <w:p>
      <w:pPr>
        <w:pStyle w:val="Heading2"/>
        <w:pStyle w:val="Heading2"/>
        <w:keepNext/>
        <w:spacing w:after="120" w:before="240" w:line="276"/>
      </w:pPr>
      <w:r>
        <w:rPr>
          <w:rFonts w:ascii="Aptos" w:cs="Aptos" w:eastAsia="Aptos" w:hAnsi="Aptos"/>
          <w:b/>
          <w:bCs/>
          <w:i w:val="false"/>
          <w:iCs w:val="false"/>
          <w:color w:val="2E74B5"/>
          <w:sz w:val="26"/>
          <w:szCs w:val="26"/>
        </w:rPr>
        <w:t xml:space="preserve">6. Comprendre le rapport de l’Agent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 rapport distingue notamment :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les dépôts Épargne;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les dépôts Fonds Garantie;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les dépôts GranDon;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les retraits;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les paiements de crédit par produit;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les pénalités et frais inclus;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les opérations en attente;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 Total Cash physique.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 Total Cash inclut les encaissements </w:t>
      </w: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pending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 et </w:t>
      </w:r>
      <w:r>
        <w:rPr>
          <w:rFonts w:ascii="Cascadia Mono" w:cs="Cascadia Mono" w:eastAsia="Cascadia Mono" w:hAnsi="Cascadia Mono"/>
          <w:b w:val="false"/>
          <w:bCs w:val="false"/>
          <w:i w:val="false"/>
          <w:iCs w:val="false"/>
          <w:color w:val="1F4D78"/>
          <w:sz w:val="21"/>
          <w:szCs w:val="21"/>
        </w:rPr>
        <w:t xml:space="preserve">confirmed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. Il ne faut pas soustraire une deuxième fois les opérations en attente lors du comptage. Les opérations rejetées sont exclues.</w:t>
      </w:r>
    </w:p>
    <w:p>
      <w:pPr>
        <w:pStyle w:val="Heading2"/>
        <w:pStyle w:val="Heading2"/>
        <w:keepNext/>
        <w:spacing w:after="120" w:before="240" w:line="276"/>
      </w:pPr>
      <w:r>
        <w:rPr>
          <w:rFonts w:ascii="Aptos" w:cs="Aptos" w:eastAsia="Aptos" w:hAnsi="Aptos"/>
          <w:b/>
          <w:bCs/>
          <w:i w:val="false"/>
          <w:iCs w:val="false"/>
          <w:color w:val="2E74B5"/>
          <w:sz w:val="26"/>
          <w:szCs w:val="26"/>
        </w:rPr>
        <w:t xml:space="preserve">7. Validation par Finance, Manager ou Admin</w:t>
      </w:r>
    </w:p>
    <w:p>
      <w:pPr>
        <w:pStyle w:val="Normal"/>
        <w:spacing w:after="60" w:before="0" w:line="276"/>
        <w:jc w:val="center"/>
      </w:pPr>
      <w:r>
        <w:rPr>
          <w:rFonts w:ascii="Aptos" w:cs="Aptos" w:eastAsia="Aptos" w:hAnsi="Aptos"/>
          <w:b w:val="false"/>
          <w:bCs w:val="false"/>
          <w:i/>
          <w:iCs/>
          <w:color w:val="5B6573"/>
          <w:sz w:val="18"/>
          <w:szCs w:val="18"/>
        </w:rPr>
        <w:t xml:space="preserve">Schéma 2 — Rapprochement du cash physique</w:t>
      </w:r>
    </w:p>
    <w:p>
      <w:pPr>
        <w:spacing w:after="140" w:before="0"/>
        <w:jc w:val="center"/>
      </w:pPr>
      <w:r>
        <w:drawing>
          <wp:inline distT="0" distB="0" distL="0" distR="0">
            <wp:extent cx="5429250" cy="176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pStyle w:val="Heading3"/>
        <w:keepNext/>
        <w:spacing w:after="90" w:before="180" w:line="276"/>
      </w:pPr>
      <w:r>
        <w:rPr>
          <w:rFonts w:ascii="Aptos" w:cs="Aptos" w:eastAsia="Aptos" w:hAnsi="Aptos"/>
          <w:b/>
          <w:bCs/>
          <w:i w:val="false"/>
          <w:iCs w:val="false"/>
          <w:color w:val="1F4D78"/>
          <w:sz w:val="23"/>
          <w:szCs w:val="23"/>
        </w:rPr>
        <w:t xml:space="preserve">Préparer le rapprochement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Ouvrir la page Validation.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Filtrer sur l’Agent concerné.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Choisir la période exacte.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Vérifier le nombre de dépôts et paiements en attente.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Lire le cash physique attendu.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Compter le cash remis.</w:t>
      </w:r>
    </w:p>
    <w:p>
      <w:pPr>
        <w:pStyle w:val="Heading3"/>
        <w:pStyle w:val="Heading3"/>
        <w:keepNext/>
        <w:spacing w:after="90" w:before="180" w:line="276"/>
      </w:pPr>
      <w:r>
        <w:rPr>
          <w:rFonts w:ascii="Aptos" w:cs="Aptos" w:eastAsia="Aptos" w:hAnsi="Aptos"/>
          <w:b/>
          <w:bCs/>
          <w:i w:val="false"/>
          <w:iCs w:val="false"/>
          <w:color w:val="1F4D78"/>
          <w:sz w:val="23"/>
          <w:szCs w:val="23"/>
        </w:rPr>
        <w:t xml:space="preserve">Si les montants correspondent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vérifier rapidement les lignes;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confirmer individuellement ou utiliser la validation en lot;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vérifier ensuite que le nombre d’opérations en attente a diminué;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contrôler les soldes et rapports concernés.</w:t>
      </w:r>
    </w:p>
    <w:p>
      <w:pPr>
        <w:pStyle w:val="Heading3"/>
        <w:pStyle w:val="Heading3"/>
        <w:keepNext/>
        <w:spacing w:after="90" w:before="180" w:line="276"/>
      </w:pPr>
      <w:r>
        <w:rPr>
          <w:rFonts w:ascii="Aptos" w:cs="Aptos" w:eastAsia="Aptos" w:hAnsi="Aptos"/>
          <w:b/>
          <w:bCs/>
          <w:i w:val="false"/>
          <w:iCs w:val="false"/>
          <w:color w:val="1F4D78"/>
          <w:sz w:val="23"/>
          <w:szCs w:val="23"/>
        </w:rPr>
        <w:t xml:space="preserve">En cas d’écart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ne pas valider automatiquement le lot;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identifier la ou les opérations en cause;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comparer carnet, montant déclaré, montant reçu et compte client;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documenter le motif;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confirmer les lignes correctes et rejeter seulement les lignes incorrectes;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conserver les preuves selon la procédure interne de BSO.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Une opération rejetée ne doit pas modifier le solde officiel et ne doit plus apparaître dans le Total Cash collecté.</w:t>
      </w:r>
    </w:p>
    <w:p>
      <w:pPr>
        <w:pStyle w:val="Heading2"/>
        <w:pStyle w:val="Heading2"/>
        <w:keepNext/>
        <w:spacing w:after="120" w:before="240" w:line="276"/>
      </w:pPr>
      <w:r>
        <w:rPr>
          <w:rFonts w:ascii="Aptos" w:cs="Aptos" w:eastAsia="Aptos" w:hAnsi="Aptos"/>
          <w:b/>
          <w:bCs/>
          <w:i w:val="false"/>
          <w:iCs w:val="false"/>
          <w:color w:val="2E74B5"/>
          <w:sz w:val="26"/>
          <w:szCs w:val="26"/>
        </w:rPr>
        <w:t xml:space="preserve">8. Accès temporaire d’un Agent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Seul un Admin accorde une dérogation temporaire.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L’accès doit préciser :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l’Agent bénéficiaire;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 client, compte ou transaction concerné;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 motif;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la durée;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 responsable ayant autorisé l’accès.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Un accès client permet de travailler sur les ressources rattachées à ce client conformément aux contrôles serveur. Un accès limité à une transaction ne doit pas être utilisé pour une autre transaction.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À l’expiration, l’Agent perd automatiquement le droit de modification.</w:t>
      </w:r>
    </w:p>
    <w:p>
      <w:pPr>
        <w:pStyle w:val="Heading2"/>
        <w:pStyle w:val="Heading2"/>
        <w:keepNext/>
        <w:spacing w:after="120" w:before="240" w:line="276"/>
      </w:pPr>
      <w:r>
        <w:rPr>
          <w:rFonts w:ascii="Aptos" w:cs="Aptos" w:eastAsia="Aptos" w:hAnsi="Aptos"/>
          <w:b/>
          <w:bCs/>
          <w:i w:val="false"/>
          <w:iCs w:val="false"/>
          <w:color w:val="2E74B5"/>
          <w:sz w:val="26"/>
          <w:szCs w:val="26"/>
        </w:rPr>
        <w:t xml:space="preserve">9. Déconnexion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La déconnexion efface les données métier et utilisateur conservées localement sur l’appareil.</w:t>
      </w:r>
    </w:p>
    <w:p>
      <w:pPr>
        <w:pStyle w:val="Heading3"/>
        <w:pStyle w:val="Heading3"/>
        <w:keepNext/>
        <w:spacing w:after="90" w:before="180" w:line="276"/>
      </w:pPr>
      <w:r>
        <w:rPr>
          <w:rFonts w:ascii="Aptos" w:cs="Aptos" w:eastAsia="Aptos" w:hAnsi="Aptos"/>
          <w:b/>
          <w:bCs/>
          <w:i w:val="false"/>
          <w:iCs w:val="false"/>
          <w:color w:val="1F4D78"/>
          <w:sz w:val="23"/>
          <w:szCs w:val="23"/>
        </w:rPr>
        <w:t xml:space="preserve">Sans opération non synchronisée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Cliquer sur « Déconnexion ».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Attendre le retour à la page de connexion.</w:t>
      </w:r>
    </w:p>
    <w:p>
      <w:pPr>
        <w:pStyle w:val="ListNumber"/>
        <w:numPr>
          <w:ilvl w:val="0"/>
          <w:numId w:val="3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Vérifier qu’aucune donnée client n’est accessible sans nouvelle connexion.</w:t>
      </w:r>
    </w:p>
    <w:p>
      <w:pPr>
        <w:pStyle w:val="Heading3"/>
        <w:pStyle w:val="Heading3"/>
        <w:keepNext/>
        <w:spacing w:after="90" w:before="180" w:line="276"/>
      </w:pPr>
      <w:r>
        <w:rPr>
          <w:rFonts w:ascii="Aptos" w:cs="Aptos" w:eastAsia="Aptos" w:hAnsi="Aptos"/>
          <w:b/>
          <w:bCs/>
          <w:i w:val="false"/>
          <w:iCs w:val="false"/>
          <w:color w:val="1F4D78"/>
          <w:sz w:val="23"/>
          <w:szCs w:val="23"/>
        </w:rPr>
        <w:t xml:space="preserve">Avec opérations non synchronisées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Le portail affiche un avertissement. Deux choix existent :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/>
          <w:bCs/>
          <w:i w:val="false"/>
          <w:iCs w:val="false"/>
          <w:color w:val="172B4D"/>
          <w:sz w:val="21"/>
          <w:szCs w:val="21"/>
        </w:rPr>
        <w:t xml:space="preserve">Annuler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 : rester connecté, synchroniser, puis se déconnecter;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/>
          <w:bCs/>
          <w:i w:val="false"/>
          <w:iCs w:val="false"/>
          <w:color w:val="172B4D"/>
          <w:sz w:val="21"/>
          <w:szCs w:val="21"/>
        </w:rPr>
        <w:t xml:space="preserve">Continuer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 : accepter la suppression définitive des opérations locales non transmises.</w:t>
      </w:r>
    </w:p>
    <w:p>
      <w:pPr>
        <w:pStyle w:val="Normal"/>
        <w:spacing w:after="120" w:before="0" w:line="276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La procédure normale est d’annuler, de synchroniser et de vérifier avant de se déconnecter.</w:t>
      </w:r>
    </w:p>
    <w:p>
      <w:pPr>
        <w:pStyle w:val="Heading2"/>
        <w:pStyle w:val="Heading2"/>
        <w:keepNext/>
        <w:spacing w:after="120" w:before="240" w:line="276"/>
      </w:pPr>
      <w:r>
        <w:rPr>
          <w:rFonts w:ascii="Aptos" w:cs="Aptos" w:eastAsia="Aptos" w:hAnsi="Aptos"/>
          <w:b/>
          <w:bCs/>
          <w:i w:val="false"/>
          <w:iCs w:val="false"/>
          <w:color w:val="2E74B5"/>
          <w:sz w:val="26"/>
          <w:szCs w:val="26"/>
        </w:rPr>
        <w:t xml:space="preserve">10. Réflexes essentiels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Ne jamais partager son compte ou son code d’invitation.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Ne jamais vider les données locales avant une synchronisation réussie.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Ne pas confondre Total Cash physique et solde comptable validé.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Vérifier le client, le compte, le type et le montant avant chaque enregistrement.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Signaler immédiatement un appareil perdu ou volé.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Utiliser une dérogation temporaire pour toute correction exceptionnelle d’un Agent.</w:t>
      </w:r>
    </w:p>
    <w:p>
      <w:pPr>
        <w:pStyle w:val="ListBullet"/>
        <w:numPr>
          <w:ilvl w:val="0"/>
          <w:numId w:val="2"/>
        </w:numPr>
        <w:spacing w:after="7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72B4D"/>
          <w:sz w:val="21"/>
          <w:szCs w:val="21"/>
        </w:rPr>
        <w:t xml:space="preserve">Ne jamais promettre qu’une opération est validée uniquement parce qu’elle apparaît dans le rapport.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CURRENT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rPr>
        <w:rFonts w:ascii="Aptos" w:cs="Aptos" w:eastAsia="Aptos" w:hAnsi="Aptos"/>
        <w:b/>
        <w:bCs/>
        <w:i w:val="false"/>
        <w:iCs w:val="false"/>
        <w:color w:val="5B6573"/>
        <w:sz w:val="17"/>
        <w:szCs w:val="17"/>
      </w:rPr>
      <w:t xml:space="preserve">BSO Portal  |  Guide de prise en main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72B4D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276"/>
    </w:pPr>
    <w:rPr>
      <w:rFonts w:ascii="Aptos" w:cs="Aptos" w:eastAsia="Aptos" w:hAnsi="Aptos"/>
      <w:color w:val="172B4D"/>
      <w:sz w:val="21"/>
      <w:szCs w:val="21"/>
    </w:rPr>
  </w:style>
  <w:style w:type="paragraph" w:styleId="Heading1">
    <w:name w:val="Heading 1"/>
    <w:basedOn w:val="Normal"/>
    <w:next w:val="Normal"/>
    <w:pPr>
      <w:keepNext/>
      <w:spacing w:after="160" w:before="320" w:line="276"/>
    </w:pPr>
    <w:rPr>
      <w:rFonts w:ascii="Aptos" w:cs="Aptos" w:eastAsia="Aptos" w:hAnsi="Aptos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/>
      <w:spacing w:after="120" w:before="240" w:line="276"/>
    </w:pPr>
    <w:rPr>
      <w:rFonts w:ascii="Aptos" w:cs="Aptos" w:eastAsia="Aptos" w:hAnsi="Apto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/>
      <w:spacing w:after="90" w:before="180" w:line="276"/>
    </w:pPr>
    <w:rPr>
      <w:rFonts w:ascii="Aptos" w:cs="Aptos" w:eastAsia="Aptos" w:hAnsi="Aptos"/>
      <w:b/>
      <w:bCs/>
      <w:color w:val="1F4D78"/>
      <w:sz w:val="23"/>
      <w:szCs w:val="23"/>
    </w:rPr>
  </w:style>
  <w:style w:type="paragraph" w:styleId="TableText">
    <w:name w:val="Table text"/>
    <w:basedOn w:val="Normal"/>
    <w:pPr>
      <w:spacing w:after="50" w:line="240"/>
    </w:pPr>
    <w:rPr>
      <w:rFonts w:ascii="Aptos" w:cs="Aptos" w:eastAsia="Aptos" w:hAnsi="Aptos"/>
      <w:color w:val="172B4D"/>
      <w:sz w:val="17"/>
      <w:szCs w:val="17"/>
    </w:rPr>
  </w:style>
  <w:style w:type="paragraph" w:styleId="ListBullet">
    <w:name w:val="List Bullet"/>
    <w:basedOn w:val="Normal"/>
    <w:pPr>
      <w:spacing w:after="70" w:line="276"/>
      <w:ind w:left="720" w:hanging="360"/>
    </w:pPr>
    <w:rPr>
      <w:rFonts w:ascii="Aptos" w:cs="Aptos" w:eastAsia="Aptos" w:hAnsi="Aptos"/>
      <w:color w:val="172B4D"/>
      <w:sz w:val="21"/>
      <w:szCs w:val="21"/>
    </w:rPr>
  </w:style>
  <w:style w:type="paragraph" w:styleId="ListNumber">
    <w:name w:val="List Number"/>
    <w:basedOn w:val="Normal"/>
    <w:pPr>
      <w:spacing w:after="70" w:line="276"/>
      <w:ind w:left="720" w:hanging="360"/>
    </w:pPr>
    <w:rPr>
      <w:rFonts w:ascii="Aptos" w:cs="Aptos" w:eastAsia="Aptos" w:hAnsi="Aptos"/>
      <w:color w:val="172B4D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6fa759beeee42f8debd2ef032ccad2ee12a1ab3.svg"/><Relationship Id="rId10" Type="http://schemas.openxmlformats.org/officeDocument/2006/relationships/image" Target="media/2115a1d881432165b3be8d5059cd4a2ba1c0f58e.png"/><Relationship Id="rId11" Type="http://schemas.openxmlformats.org/officeDocument/2006/relationships/image" Target="media/19fa0849a11195ccf2aa72ac6c60838b9f7bbd58.sv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prise en main par rôle</dc:title>
  <dc:subject>Documentation du Portail BSO</dc:subject>
  <dc:creator>Codex</dc:creator>
  <dc:description>Document généré à partir de la documentation auditée du Portail BSO.</dc:description>
  <cp:lastModifiedBy>Un-named</cp:lastModifiedBy>
  <cp:revision>1</cp:revision>
  <dcterms:created xsi:type="dcterms:W3CDTF">2026-08-23T20:49:21.637Z</dcterms:created>
  <dcterms:modified xsi:type="dcterms:W3CDTF">2026-08-23T20:49:21.637Z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