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0DAD3B" w14:textId="77777777" w:rsidR="00743A2E" w:rsidRDefault="00000000">
      <w:pPr>
        <w:spacing w:after="260"/>
      </w:pPr>
      <w:r>
        <w:rPr>
          <w:b/>
          <w:bCs/>
          <w:color w:val="087E8B"/>
          <w:sz w:val="22"/>
          <w:szCs w:val="22"/>
        </w:rPr>
        <w:t>BWAT SEKREM ONLINE</w:t>
      </w:r>
    </w:p>
    <w:p w14:paraId="45BB6FBF" w14:textId="77777777" w:rsidR="00743A2E" w:rsidRDefault="00000000">
      <w:pPr>
        <w:spacing w:after="90"/>
      </w:pPr>
      <w:r>
        <w:rPr>
          <w:b/>
          <w:bCs/>
          <w:color w:val="12304A"/>
          <w:sz w:val="56"/>
          <w:szCs w:val="56"/>
        </w:rPr>
        <w:t>Points de vigilance et sécurité</w:t>
      </w:r>
    </w:p>
    <w:p w14:paraId="42BADEE2" w14:textId="77777777" w:rsidR="00743A2E" w:rsidRDefault="00000000">
      <w:pPr>
        <w:spacing w:after="300"/>
      </w:pPr>
      <w:r>
        <w:rPr>
          <w:color w:val="5B6573"/>
          <w:sz w:val="28"/>
          <w:szCs w:val="28"/>
        </w:rPr>
        <w:t>Contrôles, risques et procédures d’incident</w:t>
      </w:r>
    </w:p>
    <w:tbl>
      <w:tblPr>
        <w:tblW w:w="9360" w:type="dxa"/>
        <w:tblInd w:w="120" w:type="dxa"/>
        <w:tblBorders>
          <w:top w:val="single" w:sz="4" w:space="0" w:color="C9D2DC"/>
          <w:left w:val="single" w:sz="4" w:space="0" w:color="C9D2DC"/>
          <w:bottom w:val="single" w:sz="4" w:space="0" w:color="C9D2DC"/>
          <w:right w:val="single" w:sz="4" w:space="0" w:color="C9D2DC"/>
          <w:insideH w:val="single" w:sz="4" w:space="0" w:color="C9D2DC"/>
          <w:insideV w:val="single" w:sz="4" w:space="0" w:color="C9D2DC"/>
        </w:tblBorders>
        <w:tblLayout w:type="fixed"/>
        <w:tblCellMar>
          <w:top w:w="100" w:type="dxa"/>
          <w:left w:w="10" w:type="dxa"/>
          <w:bottom w:w="100" w:type="dxa"/>
          <w:right w:w="10" w:type="dxa"/>
        </w:tblCellMar>
        <w:tblLook w:val="04A0" w:firstRow="1" w:lastRow="0" w:firstColumn="1" w:lastColumn="0" w:noHBand="0" w:noVBand="1"/>
      </w:tblPr>
      <w:tblGrid>
        <w:gridCol w:w="4680"/>
        <w:gridCol w:w="4680"/>
      </w:tblGrid>
      <w:tr w:rsidR="00743A2E" w14:paraId="54688B39" w14:textId="77777777">
        <w:trPr>
          <w:tblHeader/>
        </w:trPr>
        <w:tc>
          <w:tcPr>
            <w:tcW w:w="4680" w:type="dxa"/>
            <w:tcBorders>
              <w:top w:val="single" w:sz="4" w:space="0" w:color="C9D2DC"/>
              <w:left w:val="single" w:sz="4" w:space="0" w:color="C9D2DC"/>
              <w:bottom w:val="single" w:sz="4" w:space="0" w:color="C9D2DC"/>
              <w:right w:val="single" w:sz="4" w:space="0" w:color="C9D2DC"/>
            </w:tcBorders>
            <w:shd w:val="clear" w:color="auto" w:fill="12304A"/>
            <w:tcMar>
              <w:top w:w="100" w:type="dxa"/>
              <w:bottom w:w="100" w:type="dxa"/>
            </w:tcMar>
          </w:tcPr>
          <w:p w14:paraId="16055E8B" w14:textId="77777777" w:rsidR="00743A2E" w:rsidRDefault="00000000">
            <w:pPr>
              <w:pStyle w:val="Tabletext"/>
            </w:pPr>
            <w:r>
              <w:rPr>
                <w:b/>
                <w:bCs/>
                <w:color w:val="FFFFFF"/>
              </w:rPr>
              <w:t>Document</w:t>
            </w:r>
          </w:p>
        </w:tc>
        <w:tc>
          <w:tcPr>
            <w:tcW w:w="4680" w:type="dxa"/>
            <w:tcBorders>
              <w:top w:val="single" w:sz="4" w:space="0" w:color="C9D2DC"/>
              <w:left w:val="single" w:sz="4" w:space="0" w:color="C9D2DC"/>
              <w:bottom w:val="single" w:sz="4" w:space="0" w:color="C9D2DC"/>
              <w:right w:val="single" w:sz="4" w:space="0" w:color="C9D2DC"/>
            </w:tcBorders>
            <w:shd w:val="clear" w:color="auto" w:fill="12304A"/>
            <w:tcMar>
              <w:top w:w="100" w:type="dxa"/>
              <w:bottom w:w="100" w:type="dxa"/>
            </w:tcMar>
          </w:tcPr>
          <w:p w14:paraId="6708B730" w14:textId="77777777" w:rsidR="00743A2E" w:rsidRDefault="00000000">
            <w:pPr>
              <w:pStyle w:val="Tabletext"/>
            </w:pPr>
            <w:r>
              <w:rPr>
                <w:b/>
                <w:bCs/>
                <w:color w:val="FFFFFF"/>
              </w:rPr>
              <w:t>Référentiel sécurité</w:t>
            </w:r>
          </w:p>
        </w:tc>
      </w:tr>
      <w:tr w:rsidR="00743A2E" w14:paraId="7F51005E" w14:textId="77777777">
        <w:tc>
          <w:tcPr>
            <w:tcW w:w="4680" w:type="dxa"/>
            <w:tcBorders>
              <w:top w:val="single" w:sz="4" w:space="0" w:color="C9D2DC"/>
              <w:left w:val="single" w:sz="4" w:space="0" w:color="C9D2DC"/>
              <w:bottom w:val="single" w:sz="4" w:space="0" w:color="C9D2DC"/>
              <w:right w:val="single" w:sz="4" w:space="0" w:color="C9D2DC"/>
            </w:tcBorders>
            <w:shd w:val="clear" w:color="auto" w:fill="FFFFFF"/>
            <w:tcMar>
              <w:top w:w="100" w:type="dxa"/>
              <w:bottom w:w="100" w:type="dxa"/>
            </w:tcMar>
          </w:tcPr>
          <w:p w14:paraId="49B1DAEE" w14:textId="77777777" w:rsidR="00743A2E" w:rsidRDefault="00000000">
            <w:pPr>
              <w:pStyle w:val="Tabletext"/>
            </w:pPr>
            <w:r>
              <w:t>Version</w:t>
            </w:r>
          </w:p>
        </w:tc>
        <w:tc>
          <w:tcPr>
            <w:tcW w:w="4680" w:type="dxa"/>
            <w:tcBorders>
              <w:top w:val="single" w:sz="4" w:space="0" w:color="C9D2DC"/>
              <w:left w:val="single" w:sz="4" w:space="0" w:color="C9D2DC"/>
              <w:bottom w:val="single" w:sz="4" w:space="0" w:color="C9D2DC"/>
              <w:right w:val="single" w:sz="4" w:space="0" w:color="C9D2DC"/>
            </w:tcBorders>
            <w:shd w:val="clear" w:color="auto" w:fill="FFFFFF"/>
            <w:tcMar>
              <w:top w:w="100" w:type="dxa"/>
              <w:bottom w:w="100" w:type="dxa"/>
            </w:tcMar>
          </w:tcPr>
          <w:p w14:paraId="4728B267" w14:textId="77777777" w:rsidR="00743A2E" w:rsidRDefault="00000000">
            <w:pPr>
              <w:pStyle w:val="Tabletext"/>
            </w:pPr>
            <w:r>
              <w:t>Révision auditée — 23 août 2026</w:t>
            </w:r>
          </w:p>
        </w:tc>
      </w:tr>
      <w:tr w:rsidR="00743A2E" w14:paraId="69613F3E" w14:textId="77777777">
        <w:tc>
          <w:tcPr>
            <w:tcW w:w="4680" w:type="dxa"/>
            <w:tcBorders>
              <w:top w:val="single" w:sz="4" w:space="0" w:color="C9D2DC"/>
              <w:left w:val="single" w:sz="4" w:space="0" w:color="C9D2DC"/>
              <w:bottom w:val="single" w:sz="4" w:space="0" w:color="C9D2DC"/>
              <w:right w:val="single" w:sz="4" w:space="0" w:color="C9D2DC"/>
            </w:tcBorders>
            <w:shd w:val="clear" w:color="auto" w:fill="F2F4F7"/>
            <w:tcMar>
              <w:top w:w="100" w:type="dxa"/>
              <w:bottom w:w="100" w:type="dxa"/>
            </w:tcMar>
          </w:tcPr>
          <w:p w14:paraId="61880604" w14:textId="77777777" w:rsidR="00743A2E" w:rsidRDefault="00000000">
            <w:pPr>
              <w:pStyle w:val="Tabletext"/>
            </w:pPr>
            <w:r>
              <w:t>Périmètre</w:t>
            </w:r>
          </w:p>
        </w:tc>
        <w:tc>
          <w:tcPr>
            <w:tcW w:w="4680" w:type="dxa"/>
            <w:tcBorders>
              <w:top w:val="single" w:sz="4" w:space="0" w:color="C9D2DC"/>
              <w:left w:val="single" w:sz="4" w:space="0" w:color="C9D2DC"/>
              <w:bottom w:val="single" w:sz="4" w:space="0" w:color="C9D2DC"/>
              <w:right w:val="single" w:sz="4" w:space="0" w:color="C9D2DC"/>
            </w:tcBorders>
            <w:shd w:val="clear" w:color="auto" w:fill="F2F4F7"/>
            <w:tcMar>
              <w:top w:w="100" w:type="dxa"/>
              <w:bottom w:w="100" w:type="dxa"/>
            </w:tcMar>
          </w:tcPr>
          <w:p w14:paraId="3A5BA8A3" w14:textId="77777777" w:rsidR="00743A2E" w:rsidRDefault="00000000">
            <w:pPr>
              <w:pStyle w:val="Tabletext"/>
            </w:pPr>
            <w:r>
              <w:t>Portail interne BSO</w:t>
            </w:r>
          </w:p>
        </w:tc>
      </w:tr>
      <w:tr w:rsidR="00743A2E" w14:paraId="037A9C18" w14:textId="77777777">
        <w:tc>
          <w:tcPr>
            <w:tcW w:w="4680" w:type="dxa"/>
            <w:tcBorders>
              <w:top w:val="single" w:sz="4" w:space="0" w:color="C9D2DC"/>
              <w:left w:val="single" w:sz="4" w:space="0" w:color="C9D2DC"/>
              <w:bottom w:val="single" w:sz="4" w:space="0" w:color="C9D2DC"/>
              <w:right w:val="single" w:sz="4" w:space="0" w:color="C9D2DC"/>
            </w:tcBorders>
            <w:shd w:val="clear" w:color="auto" w:fill="FFFFFF"/>
            <w:tcMar>
              <w:top w:w="100" w:type="dxa"/>
              <w:bottom w:w="100" w:type="dxa"/>
            </w:tcMar>
          </w:tcPr>
          <w:p w14:paraId="52C4190B" w14:textId="77777777" w:rsidR="00743A2E" w:rsidRDefault="00000000">
            <w:pPr>
              <w:pStyle w:val="Tabletext"/>
            </w:pPr>
            <w:r>
              <w:t>Statut</w:t>
            </w:r>
          </w:p>
        </w:tc>
        <w:tc>
          <w:tcPr>
            <w:tcW w:w="4680" w:type="dxa"/>
            <w:tcBorders>
              <w:top w:val="single" w:sz="4" w:space="0" w:color="C9D2DC"/>
              <w:left w:val="single" w:sz="4" w:space="0" w:color="C9D2DC"/>
              <w:bottom w:val="single" w:sz="4" w:space="0" w:color="C9D2DC"/>
              <w:right w:val="single" w:sz="4" w:space="0" w:color="C9D2DC"/>
            </w:tcBorders>
            <w:shd w:val="clear" w:color="auto" w:fill="FFFFFF"/>
            <w:tcMar>
              <w:top w:w="100" w:type="dxa"/>
              <w:bottom w:w="100" w:type="dxa"/>
            </w:tcMar>
          </w:tcPr>
          <w:p w14:paraId="4801ADF0" w14:textId="77777777" w:rsidR="00743A2E" w:rsidRDefault="00000000">
            <w:pPr>
              <w:pStyle w:val="Tabletext"/>
            </w:pPr>
            <w:r>
              <w:t>Document de référence à valider</w:t>
            </w:r>
          </w:p>
        </w:tc>
      </w:tr>
    </w:tbl>
    <w:p w14:paraId="11C2F846" w14:textId="77777777" w:rsidR="00743A2E" w:rsidRDefault="00000000">
      <w:pPr>
        <w:spacing w:before="320" w:after="100"/>
      </w:pPr>
      <w:r>
        <w:rPr>
          <w:b/>
          <w:bCs/>
          <w:color w:val="1F4D78"/>
          <w:sz w:val="24"/>
          <w:szCs w:val="24"/>
        </w:rPr>
        <w:t>Contenu du document</w:t>
      </w:r>
    </w:p>
    <w:p w14:paraId="7FBB47B4" w14:textId="77777777" w:rsidR="00743A2E" w:rsidRDefault="00000000">
      <w:pPr>
        <w:pStyle w:val="ListBullet"/>
        <w:numPr>
          <w:ilvl w:val="0"/>
          <w:numId w:val="2"/>
        </w:numPr>
      </w:pPr>
      <w:r>
        <w:t>Données hors ligne et cash</w:t>
      </w:r>
    </w:p>
    <w:p w14:paraId="4EBAC006" w14:textId="77777777" w:rsidR="00743A2E" w:rsidRDefault="00000000">
      <w:pPr>
        <w:pStyle w:val="ListBullet"/>
        <w:numPr>
          <w:ilvl w:val="0"/>
          <w:numId w:val="2"/>
        </w:numPr>
      </w:pPr>
      <w:r>
        <w:t>Rôles, invitations et RLS</w:t>
      </w:r>
    </w:p>
    <w:p w14:paraId="6D6574ED" w14:textId="77777777" w:rsidR="00743A2E" w:rsidRDefault="00000000">
      <w:pPr>
        <w:pStyle w:val="ListBullet"/>
        <w:numPr>
          <w:ilvl w:val="0"/>
          <w:numId w:val="2"/>
        </w:numPr>
      </w:pPr>
      <w:r>
        <w:t>Intégrité et traçabilité</w:t>
      </w:r>
    </w:p>
    <w:p w14:paraId="1D33056F" w14:textId="61662F1A" w:rsidR="00743A2E" w:rsidRDefault="00000000" w:rsidP="00867F1A">
      <w:pPr>
        <w:pStyle w:val="ListBullet"/>
        <w:pageBreakBefore/>
        <w:numPr>
          <w:ilvl w:val="0"/>
          <w:numId w:val="2"/>
        </w:numPr>
        <w:spacing w:before="340" w:after="0"/>
      </w:pPr>
      <w:r>
        <w:lastRenderedPageBreak/>
        <w:t>Incidents et risques résiduels</w:t>
      </w:r>
    </w:p>
    <w:p w14:paraId="496426F3" w14:textId="77777777" w:rsidR="00743A2E" w:rsidRDefault="00000000">
      <w:r>
        <w:rPr>
          <w:b/>
          <w:bCs/>
        </w:rPr>
        <w:t>Périmètre :</w:t>
      </w:r>
      <w:r>
        <w:t xml:space="preserve"> données clients, opérations financières, appareils et Supabase</w:t>
      </w:r>
    </w:p>
    <w:p w14:paraId="223717E3" w14:textId="77777777" w:rsidR="00743A2E" w:rsidRDefault="00000000">
      <w:r>
        <w:rPr>
          <w:b/>
          <w:bCs/>
        </w:rPr>
        <w:t>Révision :</w:t>
      </w:r>
      <w:r>
        <w:t xml:space="preserve"> 23 août 2026</w:t>
      </w:r>
    </w:p>
    <w:p w14:paraId="369C309D" w14:textId="77777777" w:rsidR="00743A2E" w:rsidRDefault="00000000">
      <w:pPr>
        <w:pStyle w:val="Heading2"/>
      </w:pPr>
      <w:r>
        <w:t>1. Principes prioritaires</w:t>
      </w:r>
    </w:p>
    <w:p w14:paraId="2101C603" w14:textId="77777777" w:rsidR="00743A2E" w:rsidRDefault="00000000">
      <w:pPr>
        <w:pStyle w:val="ListNumber"/>
        <w:numPr>
          <w:ilvl w:val="0"/>
          <w:numId w:val="3"/>
        </w:numPr>
      </w:pPr>
      <w:r>
        <w:t>Une donnée non synchronisée existe uniquement sur l’appareil : sa suppression peut être définitive.</w:t>
      </w:r>
    </w:p>
    <w:p w14:paraId="5C1625CC" w14:textId="77777777" w:rsidR="00743A2E" w:rsidRDefault="00000000">
      <w:pPr>
        <w:pStyle w:val="ListNumber"/>
        <w:numPr>
          <w:ilvl w:val="0"/>
          <w:numId w:val="3"/>
        </w:numPr>
      </w:pPr>
      <w:r>
        <w:t>Le Total Cash mesure le cash physique collecté; le solde officiel dépend de la validation comptable.</w:t>
      </w:r>
    </w:p>
    <w:p w14:paraId="58B4F29A" w14:textId="77777777" w:rsidR="00743A2E" w:rsidRDefault="00000000">
      <w:pPr>
        <w:pStyle w:val="ListNumber"/>
        <w:numPr>
          <w:ilvl w:val="0"/>
          <w:numId w:val="3"/>
        </w:numPr>
      </w:pPr>
      <w:r>
        <w:t>Un bouton masqué n’est pas une protection suffisante : les règles doivent aussi être imposées par Supabase.</w:t>
      </w:r>
    </w:p>
    <w:p w14:paraId="30CBE293" w14:textId="77777777" w:rsidR="00743A2E" w:rsidRDefault="00000000">
      <w:pPr>
        <w:pStyle w:val="ListNumber"/>
        <w:numPr>
          <w:ilvl w:val="0"/>
          <w:numId w:val="3"/>
        </w:numPr>
      </w:pPr>
      <w:r>
        <w:t>Chaque utilisateur utilise son propre compte et son propre rôle.</w:t>
      </w:r>
    </w:p>
    <w:p w14:paraId="18BFF912" w14:textId="77777777" w:rsidR="00743A2E" w:rsidRDefault="00000000">
      <w:pPr>
        <w:pStyle w:val="ListNumber"/>
        <w:numPr>
          <w:ilvl w:val="0"/>
          <w:numId w:val="3"/>
        </w:numPr>
      </w:pPr>
      <w:r>
        <w:t>Les données locales doivent disparaître lors de la déconnexion.</w:t>
      </w:r>
    </w:p>
    <w:p w14:paraId="17C2EEF3" w14:textId="77777777" w:rsidR="00743A2E" w:rsidRDefault="00000000">
      <w:pPr>
        <w:pStyle w:val="ListNumber"/>
        <w:numPr>
          <w:ilvl w:val="0"/>
          <w:numId w:val="3"/>
        </w:numPr>
      </w:pPr>
      <w:r>
        <w:t>Un secret technique ne doit jamais être écrit dans le code, un document ou une capture d’écran.</w:t>
      </w:r>
    </w:p>
    <w:p w14:paraId="2C5597BA" w14:textId="77777777" w:rsidR="00743A2E" w:rsidRDefault="00000000">
      <w:pPr>
        <w:pStyle w:val="Heading2"/>
      </w:pPr>
      <w:r>
        <w:t>2. Données hors ligne et risque de perte</w:t>
      </w:r>
    </w:p>
    <w:p w14:paraId="6AAA7DEE" w14:textId="77777777" w:rsidR="00743A2E" w:rsidRDefault="00000000">
      <w:pPr>
        <w:pStyle w:val="Heading3"/>
      </w:pPr>
      <w:r>
        <w:t>File de synchronisation</w:t>
      </w:r>
    </w:p>
    <w:p w14:paraId="29ADF89E" w14:textId="77777777" w:rsidR="00743A2E" w:rsidRDefault="00000000">
      <w:r>
        <w:t xml:space="preserve">Les opérations hors ligne restent dans </w:t>
      </w:r>
      <w:r>
        <w:rPr>
          <w:rFonts w:ascii="Cascadia Mono" w:eastAsia="Cascadia Mono" w:hAnsi="Cascadia Mono" w:cs="Cascadia Mono"/>
          <w:color w:val="1F4D78"/>
        </w:rPr>
        <w:t>syncQueue</w:t>
      </w:r>
      <w:r>
        <w:t xml:space="preserve"> jusqu’à leur transmission. Les statuts importants sont :</w:t>
      </w:r>
    </w:p>
    <w:p w14:paraId="1227811F" w14:textId="77777777" w:rsidR="00743A2E" w:rsidRDefault="00000000">
      <w:pPr>
        <w:pStyle w:val="ListBullet"/>
        <w:numPr>
          <w:ilvl w:val="0"/>
          <w:numId w:val="2"/>
        </w:numPr>
      </w:pPr>
      <w:r>
        <w:rPr>
          <w:rFonts w:ascii="Cascadia Mono" w:eastAsia="Cascadia Mono" w:hAnsi="Cascadia Mono" w:cs="Cascadia Mono"/>
          <w:color w:val="1F4D78"/>
        </w:rPr>
        <w:t>pending</w:t>
      </w:r>
      <w:r>
        <w:t xml:space="preserve"> : en attente d’envoi;</w:t>
      </w:r>
    </w:p>
    <w:p w14:paraId="10912CD3" w14:textId="77777777" w:rsidR="00743A2E" w:rsidRDefault="00000000">
      <w:pPr>
        <w:pStyle w:val="ListBullet"/>
        <w:numPr>
          <w:ilvl w:val="0"/>
          <w:numId w:val="2"/>
        </w:numPr>
      </w:pPr>
      <w:r>
        <w:rPr>
          <w:rFonts w:ascii="Cascadia Mono" w:eastAsia="Cascadia Mono" w:hAnsi="Cascadia Mono" w:cs="Cascadia Mono"/>
          <w:color w:val="1F4D78"/>
        </w:rPr>
        <w:t>failed</w:t>
      </w:r>
      <w:r>
        <w:t xml:space="preserve"> : tentative échouée, intervention requise;</w:t>
      </w:r>
    </w:p>
    <w:p w14:paraId="2C7154B9" w14:textId="77777777" w:rsidR="00743A2E" w:rsidRDefault="00000000">
      <w:pPr>
        <w:pStyle w:val="ListBullet"/>
        <w:numPr>
          <w:ilvl w:val="0"/>
          <w:numId w:val="2"/>
        </w:numPr>
      </w:pPr>
      <w:r>
        <w:rPr>
          <w:rFonts w:ascii="Cascadia Mono" w:eastAsia="Cascadia Mono" w:hAnsi="Cascadia Mono" w:cs="Cascadia Mono"/>
          <w:color w:val="1F4D78"/>
        </w:rPr>
        <w:t>completed</w:t>
      </w:r>
      <w:r>
        <w:t xml:space="preserve"> : envoi terminé.</w:t>
      </w:r>
    </w:p>
    <w:p w14:paraId="12CC0E48" w14:textId="77777777" w:rsidR="00743A2E" w:rsidRDefault="00000000">
      <w:r>
        <w:t xml:space="preserve">Attention : </w:t>
      </w:r>
      <w:r>
        <w:rPr>
          <w:rFonts w:ascii="Cascadia Mono" w:eastAsia="Cascadia Mono" w:hAnsi="Cascadia Mono" w:cs="Cascadia Mono"/>
          <w:color w:val="1F4D78"/>
        </w:rPr>
        <w:t>pending</w:t>
      </w:r>
      <w:r>
        <w:t xml:space="preserve"> dans </w:t>
      </w:r>
      <w:r>
        <w:rPr>
          <w:rFonts w:ascii="Cascadia Mono" w:eastAsia="Cascadia Mono" w:hAnsi="Cascadia Mono" w:cs="Cascadia Mono"/>
          <w:color w:val="1F4D78"/>
        </w:rPr>
        <w:t>syncQueue</w:t>
      </w:r>
      <w:r>
        <w:t xml:space="preserve"> décrit l’état technique de l’envoi. </w:t>
      </w:r>
      <w:r>
        <w:rPr>
          <w:rFonts w:ascii="Cascadia Mono" w:eastAsia="Cascadia Mono" w:hAnsi="Cascadia Mono" w:cs="Cascadia Mono"/>
          <w:color w:val="1F4D78"/>
        </w:rPr>
        <w:t>validation_status = pending</w:t>
      </w:r>
      <w:r>
        <w:t xml:space="preserve"> décrit l’état financier d’une transaction déjà enregistrée. Ces deux notions ne doivent pas être confondues.</w:t>
      </w:r>
    </w:p>
    <w:p w14:paraId="394CA82A" w14:textId="77777777" w:rsidR="00743A2E" w:rsidRDefault="00000000">
      <w:pPr>
        <w:pStyle w:val="Heading3"/>
      </w:pPr>
      <w:r>
        <w:t>Avant toute maintenance</w:t>
      </w:r>
    </w:p>
    <w:p w14:paraId="4CDC1C16" w14:textId="77777777" w:rsidR="00743A2E" w:rsidRDefault="00000000">
      <w:r>
        <w:t>Ne jamais vider ou remplacer la base locale avant d’avoir :</w:t>
      </w:r>
    </w:p>
    <w:p w14:paraId="332E671D" w14:textId="77777777" w:rsidR="00743A2E" w:rsidRDefault="00000000">
      <w:pPr>
        <w:pStyle w:val="ListNumber"/>
        <w:numPr>
          <w:ilvl w:val="0"/>
          <w:numId w:val="3"/>
        </w:numPr>
      </w:pPr>
      <w:r>
        <w:t xml:space="preserve">vérifié le nombre d’éléments </w:t>
      </w:r>
      <w:r>
        <w:rPr>
          <w:rFonts w:ascii="Cascadia Mono" w:eastAsia="Cascadia Mono" w:hAnsi="Cascadia Mono" w:cs="Cascadia Mono"/>
          <w:color w:val="1F4D78"/>
        </w:rPr>
        <w:t>pending</w:t>
      </w:r>
      <w:r>
        <w:t xml:space="preserve"> et </w:t>
      </w:r>
      <w:r>
        <w:rPr>
          <w:rFonts w:ascii="Cascadia Mono" w:eastAsia="Cascadia Mono" w:hAnsi="Cascadia Mono" w:cs="Cascadia Mono"/>
          <w:color w:val="1F4D78"/>
        </w:rPr>
        <w:t>failed</w:t>
      </w:r>
      <w:r>
        <w:t>;</w:t>
      </w:r>
    </w:p>
    <w:p w14:paraId="16368553" w14:textId="77777777" w:rsidR="00743A2E" w:rsidRDefault="00000000">
      <w:pPr>
        <w:pStyle w:val="ListNumber"/>
        <w:numPr>
          <w:ilvl w:val="0"/>
          <w:numId w:val="3"/>
        </w:numPr>
      </w:pPr>
      <w:r>
        <w:t>synchronisé;</w:t>
      </w:r>
    </w:p>
    <w:p w14:paraId="44A5870F" w14:textId="77777777" w:rsidR="00743A2E" w:rsidRDefault="00000000">
      <w:pPr>
        <w:pStyle w:val="ListNumber"/>
        <w:numPr>
          <w:ilvl w:val="0"/>
          <w:numId w:val="3"/>
        </w:numPr>
      </w:pPr>
      <w:r>
        <w:t>confirmé que Supabase contient les opérations;</w:t>
      </w:r>
    </w:p>
    <w:p w14:paraId="1D3B3659" w14:textId="77777777" w:rsidR="00743A2E" w:rsidRDefault="00000000">
      <w:pPr>
        <w:pStyle w:val="ListNumber"/>
        <w:numPr>
          <w:ilvl w:val="0"/>
          <w:numId w:val="3"/>
        </w:numPr>
      </w:pPr>
      <w:r>
        <w:t>contrôlé les rapports concernés.</w:t>
      </w:r>
    </w:p>
    <w:p w14:paraId="03A0BD64" w14:textId="77777777" w:rsidR="00743A2E" w:rsidRDefault="00000000">
      <w:r>
        <w:t>La fonction générale de suppression locale reste une action à haut risque. Elle doit être réservée au support ou accompagnée d’une procédure interne, car une simple confirmation utilisateur ne garantit pas qu’une sauvegarde existe.</w:t>
      </w:r>
    </w:p>
    <w:p w14:paraId="488E5CA0" w14:textId="77777777" w:rsidR="00743A2E" w:rsidRDefault="00000000">
      <w:pPr>
        <w:pStyle w:val="Heading3"/>
      </w:pPr>
      <w:r>
        <w:t>Déconnexion</w:t>
      </w:r>
    </w:p>
    <w:p w14:paraId="188441EA" w14:textId="77777777" w:rsidR="00743A2E" w:rsidRDefault="00000000">
      <w:r>
        <w:t>La déconnexion supprime volontairement la base métier, les journaux locaux, les caches sensibles et les informations de session. Si des éléments ne sont pas synchronisés, l’utilisateur reçoit un avertissement explicite.</w:t>
      </w:r>
    </w:p>
    <w:p w14:paraId="24E1750B" w14:textId="77777777" w:rsidR="00743A2E" w:rsidRDefault="00000000">
      <w:r>
        <w:lastRenderedPageBreak/>
        <w:t>Le choix recommandé est toujours : annuler, synchroniser, vérifier, puis se déconnecter.</w:t>
      </w:r>
    </w:p>
    <w:p w14:paraId="7853E1F6" w14:textId="77777777" w:rsidR="00743A2E" w:rsidRDefault="00000000">
      <w:pPr>
        <w:pStyle w:val="Heading2"/>
      </w:pPr>
      <w:r>
        <w:t>3. Cash physique et soldes</w:t>
      </w:r>
    </w:p>
    <w:p w14:paraId="451098B2" w14:textId="77777777" w:rsidR="00743A2E" w:rsidRDefault="00000000">
      <w:pPr>
        <w:pStyle w:val="Heading3"/>
      </w:pPr>
      <w:r>
        <w:t>Cash physique</w:t>
      </w:r>
    </w:p>
    <w:p w14:paraId="28BEC818" w14:textId="77777777" w:rsidR="00743A2E" w:rsidRDefault="00000000">
      <w:r>
        <w:t xml:space="preserve">Une entrée d’argent collectée apparaît dans le Total Cash dès sa saisie, qu’elle soit </w:t>
      </w:r>
      <w:r>
        <w:rPr>
          <w:rFonts w:ascii="Cascadia Mono" w:eastAsia="Cascadia Mono" w:hAnsi="Cascadia Mono" w:cs="Cascadia Mono"/>
          <w:color w:val="1F4D78"/>
        </w:rPr>
        <w:t>pending</w:t>
      </w:r>
      <w:r>
        <w:t xml:space="preserve"> ou </w:t>
      </w:r>
      <w:r>
        <w:rPr>
          <w:rFonts w:ascii="Cascadia Mono" w:eastAsia="Cascadia Mono" w:hAnsi="Cascadia Mono" w:cs="Cascadia Mono"/>
          <w:color w:val="1F4D78"/>
        </w:rPr>
        <w:t>confirmed</w:t>
      </w:r>
      <w:r>
        <w:t>. C’est nécessaire pour que l’Agent remette le montant réellement présent dans sa caisse.</w:t>
      </w:r>
    </w:p>
    <w:p w14:paraId="3A0F1BFB" w14:textId="77777777" w:rsidR="00743A2E" w:rsidRDefault="00000000">
      <w:r>
        <w:t xml:space="preserve">Une opération </w:t>
      </w:r>
      <w:r>
        <w:rPr>
          <w:rFonts w:ascii="Cascadia Mono" w:eastAsia="Cascadia Mono" w:hAnsi="Cascadia Mono" w:cs="Cascadia Mono"/>
          <w:color w:val="1F4D78"/>
        </w:rPr>
        <w:t>rejected</w:t>
      </w:r>
      <w:r>
        <w:t xml:space="preserve"> est exclue du Total Cash.</w:t>
      </w:r>
    </w:p>
    <w:p w14:paraId="70B14F29" w14:textId="77777777" w:rsidR="00743A2E" w:rsidRDefault="00000000">
      <w:pPr>
        <w:pStyle w:val="Heading3"/>
      </w:pPr>
      <w:r>
        <w:t>Solde comptable</w:t>
      </w:r>
    </w:p>
    <w:p w14:paraId="5D36D613" w14:textId="77777777" w:rsidR="00743A2E" w:rsidRDefault="00000000">
      <w:r>
        <w:t>Un dépôt ou paiement en attente ne doit pas être présenté comme définitivement comptabilisé. Le serveur applique l’effet comptable lors de la confirmation.</w:t>
      </w:r>
    </w:p>
    <w:p w14:paraId="1BBF6C40" w14:textId="77777777" w:rsidR="00743A2E" w:rsidRDefault="00000000">
      <w:pPr>
        <w:pStyle w:val="Heading3"/>
      </w:pPr>
      <w:r>
        <w:t>Risques courants</w:t>
      </w:r>
    </w:p>
    <w:tbl>
      <w:tblPr>
        <w:tblW w:w="9360" w:type="dxa"/>
        <w:tblInd w:w="120" w:type="dxa"/>
        <w:tblBorders>
          <w:top w:val="single" w:sz="4" w:space="0" w:color="C9D2DC"/>
          <w:left w:val="single" w:sz="4" w:space="0" w:color="C9D2DC"/>
          <w:bottom w:val="single" w:sz="4" w:space="0" w:color="C9D2DC"/>
          <w:right w:val="single" w:sz="4" w:space="0" w:color="C9D2DC"/>
          <w:insideH w:val="single" w:sz="4" w:space="0" w:color="C9D2DC"/>
          <w:insideV w:val="single" w:sz="4" w:space="0" w:color="C9D2DC"/>
        </w:tblBorders>
        <w:tblLayout w:type="fixed"/>
        <w:tblCellMar>
          <w:top w:w="100" w:type="dxa"/>
          <w:left w:w="10" w:type="dxa"/>
          <w:bottom w:w="100" w:type="dxa"/>
          <w:right w:w="10" w:type="dxa"/>
        </w:tblCellMar>
        <w:tblLook w:val="04A0" w:firstRow="1" w:lastRow="0" w:firstColumn="1" w:lastColumn="0" w:noHBand="0" w:noVBand="1"/>
      </w:tblPr>
      <w:tblGrid>
        <w:gridCol w:w="3120"/>
        <w:gridCol w:w="3120"/>
        <w:gridCol w:w="3120"/>
      </w:tblGrid>
      <w:tr w:rsidR="00743A2E" w14:paraId="070951AE" w14:textId="77777777">
        <w:trPr>
          <w:tblHeader/>
        </w:trPr>
        <w:tc>
          <w:tcPr>
            <w:tcW w:w="3120" w:type="dxa"/>
            <w:tcBorders>
              <w:top w:val="single" w:sz="4" w:space="0" w:color="C9D2DC"/>
              <w:left w:val="single" w:sz="4" w:space="0" w:color="C9D2DC"/>
              <w:bottom w:val="single" w:sz="4" w:space="0" w:color="C9D2DC"/>
              <w:right w:val="single" w:sz="4" w:space="0" w:color="C9D2DC"/>
            </w:tcBorders>
            <w:shd w:val="clear" w:color="auto" w:fill="12304A"/>
            <w:tcMar>
              <w:top w:w="100" w:type="dxa"/>
              <w:bottom w:w="100" w:type="dxa"/>
            </w:tcMar>
          </w:tcPr>
          <w:p w14:paraId="19A88275" w14:textId="77777777" w:rsidR="00743A2E" w:rsidRDefault="00000000">
            <w:pPr>
              <w:pStyle w:val="Tabletext"/>
            </w:pPr>
            <w:r>
              <w:rPr>
                <w:b/>
                <w:bCs/>
                <w:color w:val="FFFFFF"/>
              </w:rPr>
              <w:t>Situation</w:t>
            </w:r>
          </w:p>
        </w:tc>
        <w:tc>
          <w:tcPr>
            <w:tcW w:w="3120" w:type="dxa"/>
            <w:tcBorders>
              <w:top w:val="single" w:sz="4" w:space="0" w:color="C9D2DC"/>
              <w:left w:val="single" w:sz="4" w:space="0" w:color="C9D2DC"/>
              <w:bottom w:val="single" w:sz="4" w:space="0" w:color="C9D2DC"/>
              <w:right w:val="single" w:sz="4" w:space="0" w:color="C9D2DC"/>
            </w:tcBorders>
            <w:shd w:val="clear" w:color="auto" w:fill="12304A"/>
            <w:tcMar>
              <w:top w:w="100" w:type="dxa"/>
              <w:bottom w:w="100" w:type="dxa"/>
            </w:tcMar>
          </w:tcPr>
          <w:p w14:paraId="70A1869C" w14:textId="77777777" w:rsidR="00743A2E" w:rsidRDefault="00000000">
            <w:pPr>
              <w:pStyle w:val="Tabletext"/>
            </w:pPr>
            <w:r>
              <w:rPr>
                <w:b/>
                <w:bCs/>
                <w:color w:val="FFFFFF"/>
              </w:rPr>
              <w:t>Risque</w:t>
            </w:r>
          </w:p>
        </w:tc>
        <w:tc>
          <w:tcPr>
            <w:tcW w:w="3120" w:type="dxa"/>
            <w:tcBorders>
              <w:top w:val="single" w:sz="4" w:space="0" w:color="C9D2DC"/>
              <w:left w:val="single" w:sz="4" w:space="0" w:color="C9D2DC"/>
              <w:bottom w:val="single" w:sz="4" w:space="0" w:color="C9D2DC"/>
              <w:right w:val="single" w:sz="4" w:space="0" w:color="C9D2DC"/>
            </w:tcBorders>
            <w:shd w:val="clear" w:color="auto" w:fill="12304A"/>
            <w:tcMar>
              <w:top w:w="100" w:type="dxa"/>
              <w:bottom w:w="100" w:type="dxa"/>
            </w:tcMar>
          </w:tcPr>
          <w:p w14:paraId="7FB61324" w14:textId="77777777" w:rsidR="00743A2E" w:rsidRDefault="00000000">
            <w:pPr>
              <w:pStyle w:val="Tabletext"/>
            </w:pPr>
            <w:r>
              <w:rPr>
                <w:b/>
                <w:bCs/>
                <w:color w:val="FFFFFF"/>
              </w:rPr>
              <w:t>Contrôle attendu</w:t>
            </w:r>
          </w:p>
        </w:tc>
      </w:tr>
      <w:tr w:rsidR="00743A2E" w14:paraId="6A25703F" w14:textId="77777777">
        <w:tc>
          <w:tcPr>
            <w:tcW w:w="3120" w:type="dxa"/>
            <w:tcBorders>
              <w:top w:val="single" w:sz="4" w:space="0" w:color="C9D2DC"/>
              <w:left w:val="single" w:sz="4" w:space="0" w:color="C9D2DC"/>
              <w:bottom w:val="single" w:sz="4" w:space="0" w:color="C9D2DC"/>
              <w:right w:val="single" w:sz="4" w:space="0" w:color="C9D2DC"/>
            </w:tcBorders>
            <w:shd w:val="clear" w:color="auto" w:fill="FFFFFF"/>
            <w:tcMar>
              <w:top w:w="100" w:type="dxa"/>
              <w:bottom w:w="100" w:type="dxa"/>
            </w:tcMar>
          </w:tcPr>
          <w:p w14:paraId="0B8F2E98" w14:textId="77777777" w:rsidR="00743A2E" w:rsidRDefault="00000000">
            <w:pPr>
              <w:pStyle w:val="Tabletext"/>
            </w:pPr>
            <w:r>
              <w:t xml:space="preserve">Confondre </w:t>
            </w:r>
            <w:r>
              <w:rPr>
                <w:rFonts w:ascii="Cascadia Mono" w:eastAsia="Cascadia Mono" w:hAnsi="Cascadia Mono" w:cs="Cascadia Mono"/>
                <w:color w:val="1F4D78"/>
              </w:rPr>
              <w:t>pending</w:t>
            </w:r>
            <w:r>
              <w:t xml:space="preserve"> avec « cash non reçu »</w:t>
            </w:r>
          </w:p>
        </w:tc>
        <w:tc>
          <w:tcPr>
            <w:tcW w:w="3120" w:type="dxa"/>
            <w:tcBorders>
              <w:top w:val="single" w:sz="4" w:space="0" w:color="C9D2DC"/>
              <w:left w:val="single" w:sz="4" w:space="0" w:color="C9D2DC"/>
              <w:bottom w:val="single" w:sz="4" w:space="0" w:color="C9D2DC"/>
              <w:right w:val="single" w:sz="4" w:space="0" w:color="C9D2DC"/>
            </w:tcBorders>
            <w:shd w:val="clear" w:color="auto" w:fill="FFFFFF"/>
            <w:tcMar>
              <w:top w:w="100" w:type="dxa"/>
              <w:bottom w:w="100" w:type="dxa"/>
            </w:tcMar>
          </w:tcPr>
          <w:p w14:paraId="0EFB4168" w14:textId="77777777" w:rsidR="00743A2E" w:rsidRDefault="00000000">
            <w:pPr>
              <w:pStyle w:val="Tabletext"/>
            </w:pPr>
            <w:r>
              <w:t>Écart de caisse artificiel</w:t>
            </w:r>
          </w:p>
        </w:tc>
        <w:tc>
          <w:tcPr>
            <w:tcW w:w="3120" w:type="dxa"/>
            <w:tcBorders>
              <w:top w:val="single" w:sz="4" w:space="0" w:color="C9D2DC"/>
              <w:left w:val="single" w:sz="4" w:space="0" w:color="C9D2DC"/>
              <w:bottom w:val="single" w:sz="4" w:space="0" w:color="C9D2DC"/>
              <w:right w:val="single" w:sz="4" w:space="0" w:color="C9D2DC"/>
            </w:tcBorders>
            <w:shd w:val="clear" w:color="auto" w:fill="FFFFFF"/>
            <w:tcMar>
              <w:top w:w="100" w:type="dxa"/>
              <w:bottom w:w="100" w:type="dxa"/>
            </w:tcMar>
          </w:tcPr>
          <w:p w14:paraId="5808F17F" w14:textId="77777777" w:rsidR="00743A2E" w:rsidRDefault="00000000">
            <w:pPr>
              <w:pStyle w:val="Tabletext"/>
            </w:pPr>
            <w:r>
              <w:t>Inclure le cash collecté dans le rapprochement</w:t>
            </w:r>
          </w:p>
        </w:tc>
      </w:tr>
      <w:tr w:rsidR="00743A2E" w14:paraId="1578CC13" w14:textId="77777777">
        <w:tc>
          <w:tcPr>
            <w:tcW w:w="3120" w:type="dxa"/>
            <w:tcBorders>
              <w:top w:val="single" w:sz="4" w:space="0" w:color="C9D2DC"/>
              <w:left w:val="single" w:sz="4" w:space="0" w:color="C9D2DC"/>
              <w:bottom w:val="single" w:sz="4" w:space="0" w:color="C9D2DC"/>
              <w:right w:val="single" w:sz="4" w:space="0" w:color="C9D2DC"/>
            </w:tcBorders>
            <w:shd w:val="clear" w:color="auto" w:fill="F2F4F7"/>
            <w:tcMar>
              <w:top w:w="100" w:type="dxa"/>
              <w:bottom w:w="100" w:type="dxa"/>
            </w:tcMar>
          </w:tcPr>
          <w:p w14:paraId="39501C4B" w14:textId="77777777" w:rsidR="00743A2E" w:rsidRDefault="00000000">
            <w:pPr>
              <w:pStyle w:val="Tabletext"/>
            </w:pPr>
            <w:r>
              <w:t>Confondre Total Cash et solde officiel</w:t>
            </w:r>
          </w:p>
        </w:tc>
        <w:tc>
          <w:tcPr>
            <w:tcW w:w="3120" w:type="dxa"/>
            <w:tcBorders>
              <w:top w:val="single" w:sz="4" w:space="0" w:color="C9D2DC"/>
              <w:left w:val="single" w:sz="4" w:space="0" w:color="C9D2DC"/>
              <w:bottom w:val="single" w:sz="4" w:space="0" w:color="C9D2DC"/>
              <w:right w:val="single" w:sz="4" w:space="0" w:color="C9D2DC"/>
            </w:tcBorders>
            <w:shd w:val="clear" w:color="auto" w:fill="F2F4F7"/>
            <w:tcMar>
              <w:top w:w="100" w:type="dxa"/>
              <w:bottom w:w="100" w:type="dxa"/>
            </w:tcMar>
          </w:tcPr>
          <w:p w14:paraId="515A494E" w14:textId="77777777" w:rsidR="00743A2E" w:rsidRDefault="00000000">
            <w:pPr>
              <w:pStyle w:val="Tabletext"/>
            </w:pPr>
            <w:r>
              <w:t>Information client incorrecte</w:t>
            </w:r>
          </w:p>
        </w:tc>
        <w:tc>
          <w:tcPr>
            <w:tcW w:w="3120" w:type="dxa"/>
            <w:tcBorders>
              <w:top w:val="single" w:sz="4" w:space="0" w:color="C9D2DC"/>
              <w:left w:val="single" w:sz="4" w:space="0" w:color="C9D2DC"/>
              <w:bottom w:val="single" w:sz="4" w:space="0" w:color="C9D2DC"/>
              <w:right w:val="single" w:sz="4" w:space="0" w:color="C9D2DC"/>
            </w:tcBorders>
            <w:shd w:val="clear" w:color="auto" w:fill="F2F4F7"/>
            <w:tcMar>
              <w:top w:w="100" w:type="dxa"/>
              <w:bottom w:w="100" w:type="dxa"/>
            </w:tcMar>
          </w:tcPr>
          <w:p w14:paraId="0FBB09EF" w14:textId="77777777" w:rsidR="00743A2E" w:rsidRDefault="00000000">
            <w:pPr>
              <w:pStyle w:val="Tabletext"/>
            </w:pPr>
            <w:r>
              <w:t>Vérifier le statut de validation</w:t>
            </w:r>
          </w:p>
        </w:tc>
      </w:tr>
      <w:tr w:rsidR="00743A2E" w14:paraId="3E4DC24A" w14:textId="77777777">
        <w:tc>
          <w:tcPr>
            <w:tcW w:w="3120" w:type="dxa"/>
            <w:tcBorders>
              <w:top w:val="single" w:sz="4" w:space="0" w:color="C9D2DC"/>
              <w:left w:val="single" w:sz="4" w:space="0" w:color="C9D2DC"/>
              <w:bottom w:val="single" w:sz="4" w:space="0" w:color="C9D2DC"/>
              <w:right w:val="single" w:sz="4" w:space="0" w:color="C9D2DC"/>
            </w:tcBorders>
            <w:shd w:val="clear" w:color="auto" w:fill="FFFFFF"/>
            <w:tcMar>
              <w:top w:w="100" w:type="dxa"/>
              <w:bottom w:w="100" w:type="dxa"/>
            </w:tcMar>
          </w:tcPr>
          <w:p w14:paraId="5639BBDC" w14:textId="77777777" w:rsidR="00743A2E" w:rsidRDefault="00000000">
            <w:pPr>
              <w:pStyle w:val="Tabletext"/>
            </w:pPr>
            <w:r>
              <w:t>Valider un lot sans filtrer l’Agent et la date</w:t>
            </w:r>
          </w:p>
        </w:tc>
        <w:tc>
          <w:tcPr>
            <w:tcW w:w="3120" w:type="dxa"/>
            <w:tcBorders>
              <w:top w:val="single" w:sz="4" w:space="0" w:color="C9D2DC"/>
              <w:left w:val="single" w:sz="4" w:space="0" w:color="C9D2DC"/>
              <w:bottom w:val="single" w:sz="4" w:space="0" w:color="C9D2DC"/>
              <w:right w:val="single" w:sz="4" w:space="0" w:color="C9D2DC"/>
            </w:tcBorders>
            <w:shd w:val="clear" w:color="auto" w:fill="FFFFFF"/>
            <w:tcMar>
              <w:top w:w="100" w:type="dxa"/>
              <w:bottom w:w="100" w:type="dxa"/>
            </w:tcMar>
          </w:tcPr>
          <w:p w14:paraId="7FE8C148" w14:textId="77777777" w:rsidR="00743A2E" w:rsidRDefault="00000000">
            <w:pPr>
              <w:pStyle w:val="Tabletext"/>
            </w:pPr>
            <w:r>
              <w:t>Validation d’opérations étrangères au dépôt</w:t>
            </w:r>
          </w:p>
        </w:tc>
        <w:tc>
          <w:tcPr>
            <w:tcW w:w="3120" w:type="dxa"/>
            <w:tcBorders>
              <w:top w:val="single" w:sz="4" w:space="0" w:color="C9D2DC"/>
              <w:left w:val="single" w:sz="4" w:space="0" w:color="C9D2DC"/>
              <w:bottom w:val="single" w:sz="4" w:space="0" w:color="C9D2DC"/>
              <w:right w:val="single" w:sz="4" w:space="0" w:color="C9D2DC"/>
            </w:tcBorders>
            <w:shd w:val="clear" w:color="auto" w:fill="FFFFFF"/>
            <w:tcMar>
              <w:top w:w="100" w:type="dxa"/>
              <w:bottom w:w="100" w:type="dxa"/>
            </w:tcMar>
          </w:tcPr>
          <w:p w14:paraId="1F4BE99C" w14:textId="77777777" w:rsidR="00743A2E" w:rsidRDefault="00000000">
            <w:pPr>
              <w:pStyle w:val="Tabletext"/>
            </w:pPr>
            <w:r>
              <w:t>Contrôler filtre, période et nombre de lignes</w:t>
            </w:r>
          </w:p>
        </w:tc>
      </w:tr>
      <w:tr w:rsidR="00743A2E" w14:paraId="33AD63BD" w14:textId="77777777">
        <w:tc>
          <w:tcPr>
            <w:tcW w:w="3120" w:type="dxa"/>
            <w:tcBorders>
              <w:top w:val="single" w:sz="4" w:space="0" w:color="C9D2DC"/>
              <w:left w:val="single" w:sz="4" w:space="0" w:color="C9D2DC"/>
              <w:bottom w:val="single" w:sz="4" w:space="0" w:color="C9D2DC"/>
              <w:right w:val="single" w:sz="4" w:space="0" w:color="C9D2DC"/>
            </w:tcBorders>
            <w:shd w:val="clear" w:color="auto" w:fill="F2F4F7"/>
            <w:tcMar>
              <w:top w:w="100" w:type="dxa"/>
              <w:bottom w:w="100" w:type="dxa"/>
            </w:tcMar>
          </w:tcPr>
          <w:p w14:paraId="482368B3" w14:textId="77777777" w:rsidR="00743A2E" w:rsidRDefault="00000000">
            <w:pPr>
              <w:pStyle w:val="Tabletext"/>
            </w:pPr>
            <w:r>
              <w:t>Enregistrer le solde initial comme dépôt du jour</w:t>
            </w:r>
          </w:p>
        </w:tc>
        <w:tc>
          <w:tcPr>
            <w:tcW w:w="3120" w:type="dxa"/>
            <w:tcBorders>
              <w:top w:val="single" w:sz="4" w:space="0" w:color="C9D2DC"/>
              <w:left w:val="single" w:sz="4" w:space="0" w:color="C9D2DC"/>
              <w:bottom w:val="single" w:sz="4" w:space="0" w:color="C9D2DC"/>
              <w:right w:val="single" w:sz="4" w:space="0" w:color="C9D2DC"/>
            </w:tcBorders>
            <w:shd w:val="clear" w:color="auto" w:fill="F2F4F7"/>
            <w:tcMar>
              <w:top w:w="100" w:type="dxa"/>
              <w:bottom w:w="100" w:type="dxa"/>
            </w:tcMar>
          </w:tcPr>
          <w:p w14:paraId="11747060" w14:textId="77777777" w:rsidR="00743A2E" w:rsidRDefault="00000000">
            <w:pPr>
              <w:pStyle w:val="Tabletext"/>
            </w:pPr>
            <w:r>
              <w:t>Total Cash surévalué</w:t>
            </w:r>
          </w:p>
        </w:tc>
        <w:tc>
          <w:tcPr>
            <w:tcW w:w="3120" w:type="dxa"/>
            <w:tcBorders>
              <w:top w:val="single" w:sz="4" w:space="0" w:color="C9D2DC"/>
              <w:left w:val="single" w:sz="4" w:space="0" w:color="C9D2DC"/>
              <w:bottom w:val="single" w:sz="4" w:space="0" w:color="C9D2DC"/>
              <w:right w:val="single" w:sz="4" w:space="0" w:color="C9D2DC"/>
            </w:tcBorders>
            <w:shd w:val="clear" w:color="auto" w:fill="F2F4F7"/>
            <w:tcMar>
              <w:top w:w="100" w:type="dxa"/>
              <w:bottom w:w="100" w:type="dxa"/>
            </w:tcMar>
          </w:tcPr>
          <w:p w14:paraId="3B07C215" w14:textId="77777777" w:rsidR="00743A2E" w:rsidRDefault="00000000">
            <w:pPr>
              <w:pStyle w:val="Tabletext"/>
            </w:pPr>
            <w:r>
              <w:t xml:space="preserve">Utiliser </w:t>
            </w:r>
            <w:r>
              <w:rPr>
                <w:rFonts w:ascii="Cascadia Mono" w:eastAsia="Cascadia Mono" w:hAnsi="Cascadia Mono" w:cs="Cascadia Mono"/>
                <w:color w:val="1F4D78"/>
              </w:rPr>
              <w:t>is_solde_initial</w:t>
            </w:r>
          </w:p>
        </w:tc>
      </w:tr>
      <w:tr w:rsidR="00743A2E" w14:paraId="459FC8A8" w14:textId="77777777">
        <w:tc>
          <w:tcPr>
            <w:tcW w:w="3120" w:type="dxa"/>
            <w:tcBorders>
              <w:top w:val="single" w:sz="4" w:space="0" w:color="C9D2DC"/>
              <w:left w:val="single" w:sz="4" w:space="0" w:color="C9D2DC"/>
              <w:bottom w:val="single" w:sz="4" w:space="0" w:color="C9D2DC"/>
              <w:right w:val="single" w:sz="4" w:space="0" w:color="C9D2DC"/>
            </w:tcBorders>
            <w:shd w:val="clear" w:color="auto" w:fill="FFFFFF"/>
            <w:tcMar>
              <w:top w:w="100" w:type="dxa"/>
              <w:bottom w:w="100" w:type="dxa"/>
            </w:tcMar>
          </w:tcPr>
          <w:p w14:paraId="1DD827C6" w14:textId="77777777" w:rsidR="00743A2E" w:rsidRDefault="00000000">
            <w:pPr>
              <w:pStyle w:val="Tabletext"/>
            </w:pPr>
            <w:r>
              <w:t>Paiement supérieur au restant dû</w:t>
            </w:r>
          </w:p>
        </w:tc>
        <w:tc>
          <w:tcPr>
            <w:tcW w:w="3120" w:type="dxa"/>
            <w:tcBorders>
              <w:top w:val="single" w:sz="4" w:space="0" w:color="C9D2DC"/>
              <w:left w:val="single" w:sz="4" w:space="0" w:color="C9D2DC"/>
              <w:bottom w:val="single" w:sz="4" w:space="0" w:color="C9D2DC"/>
              <w:right w:val="single" w:sz="4" w:space="0" w:color="C9D2DC"/>
            </w:tcBorders>
            <w:shd w:val="clear" w:color="auto" w:fill="FFFFFF"/>
            <w:tcMar>
              <w:top w:w="100" w:type="dxa"/>
              <w:bottom w:w="100" w:type="dxa"/>
            </w:tcMar>
          </w:tcPr>
          <w:p w14:paraId="087A8FCE" w14:textId="77777777" w:rsidR="00743A2E" w:rsidRDefault="00000000">
            <w:pPr>
              <w:pStyle w:val="Tabletext"/>
            </w:pPr>
            <w:r>
              <w:t>Surpaiement et incohérence</w:t>
            </w:r>
          </w:p>
        </w:tc>
        <w:tc>
          <w:tcPr>
            <w:tcW w:w="3120" w:type="dxa"/>
            <w:tcBorders>
              <w:top w:val="single" w:sz="4" w:space="0" w:color="C9D2DC"/>
              <w:left w:val="single" w:sz="4" w:space="0" w:color="C9D2DC"/>
              <w:bottom w:val="single" w:sz="4" w:space="0" w:color="C9D2DC"/>
              <w:right w:val="single" w:sz="4" w:space="0" w:color="C9D2DC"/>
            </w:tcBorders>
            <w:shd w:val="clear" w:color="auto" w:fill="FFFFFF"/>
            <w:tcMar>
              <w:top w:w="100" w:type="dxa"/>
              <w:bottom w:w="100" w:type="dxa"/>
            </w:tcMar>
          </w:tcPr>
          <w:p w14:paraId="60EB8024" w14:textId="77777777" w:rsidR="00743A2E" w:rsidRDefault="00000000">
            <w:pPr>
              <w:pStyle w:val="Tabletext"/>
            </w:pPr>
            <w:r>
              <w:t>Laisser le serveur refuser l’opération</w:t>
            </w:r>
          </w:p>
        </w:tc>
      </w:tr>
    </w:tbl>
    <w:p w14:paraId="1DE1BE3C" w14:textId="77777777" w:rsidR="00743A2E" w:rsidRDefault="00743A2E">
      <w:pPr>
        <w:spacing w:after="10"/>
      </w:pPr>
    </w:p>
    <w:p w14:paraId="784BB82B" w14:textId="77777777" w:rsidR="00743A2E" w:rsidRDefault="00000000">
      <w:pPr>
        <w:pStyle w:val="Heading2"/>
      </w:pPr>
      <w:r>
        <w:t>4. Rôles et moindre privilège</w:t>
      </w:r>
    </w:p>
    <w:p w14:paraId="0BE5488E" w14:textId="77777777" w:rsidR="00743A2E" w:rsidRDefault="00000000">
      <w:pPr>
        <w:pStyle w:val="Heading3"/>
      </w:pPr>
      <w:r>
        <w:t>Droits globaux</w:t>
      </w:r>
    </w:p>
    <w:p w14:paraId="761D17AB" w14:textId="77777777" w:rsidR="00743A2E" w:rsidRDefault="00000000">
      <w:r>
        <w:t>Admin, Manager et Finance peuvent modifier les données métier. Cette autorisation est volontaire et doit être compensée par :</w:t>
      </w:r>
    </w:p>
    <w:p w14:paraId="55220224" w14:textId="77777777" w:rsidR="00743A2E" w:rsidRDefault="00000000">
      <w:pPr>
        <w:pStyle w:val="ListBullet"/>
        <w:numPr>
          <w:ilvl w:val="0"/>
          <w:numId w:val="2"/>
        </w:numPr>
      </w:pPr>
      <w:r>
        <w:t>des comptes nominatifs;</w:t>
      </w:r>
    </w:p>
    <w:p w14:paraId="14B90535" w14:textId="77777777" w:rsidR="00743A2E" w:rsidRDefault="00000000">
      <w:pPr>
        <w:pStyle w:val="ListBullet"/>
        <w:numPr>
          <w:ilvl w:val="0"/>
          <w:numId w:val="2"/>
        </w:numPr>
      </w:pPr>
      <w:r>
        <w:t>la protection des mots de passe;</w:t>
      </w:r>
    </w:p>
    <w:p w14:paraId="19098BD6" w14:textId="77777777" w:rsidR="00743A2E" w:rsidRDefault="00000000">
      <w:pPr>
        <w:pStyle w:val="ListBullet"/>
        <w:numPr>
          <w:ilvl w:val="0"/>
          <w:numId w:val="2"/>
        </w:numPr>
      </w:pPr>
      <w:r>
        <w:t>la revue des journaux;</w:t>
      </w:r>
    </w:p>
    <w:p w14:paraId="1E465275" w14:textId="77777777" w:rsidR="00743A2E" w:rsidRDefault="00000000">
      <w:pPr>
        <w:pStyle w:val="ListBullet"/>
        <w:numPr>
          <w:ilvl w:val="0"/>
          <w:numId w:val="2"/>
        </w:numPr>
      </w:pPr>
      <w:r>
        <w:t>une procédure de correction et de suppression;</w:t>
      </w:r>
    </w:p>
    <w:p w14:paraId="0AD61172" w14:textId="77777777" w:rsidR="00743A2E" w:rsidRDefault="00000000">
      <w:pPr>
        <w:pStyle w:val="ListBullet"/>
        <w:numPr>
          <w:ilvl w:val="0"/>
          <w:numId w:val="2"/>
        </w:numPr>
      </w:pPr>
      <w:r>
        <w:t>le retrait rapide des accès lors d’un départ.</w:t>
      </w:r>
    </w:p>
    <w:p w14:paraId="51680C11" w14:textId="77777777" w:rsidR="00743A2E" w:rsidRDefault="00000000">
      <w:pPr>
        <w:pStyle w:val="Heading3"/>
      </w:pPr>
      <w:r>
        <w:t>Agent</w:t>
      </w:r>
    </w:p>
    <w:p w14:paraId="1FA3D739" w14:textId="77777777" w:rsidR="00743A2E" w:rsidRDefault="00000000">
      <w:r>
        <w:t>L’Agent peut consulter les données nécessaires au fonctionnement actuel du portail et créer les opérations de terrain. La modification ou suppression de données existantes protégées nécessite un accès temporaire actif accordé par un Admin.</w:t>
      </w:r>
    </w:p>
    <w:p w14:paraId="6B846086" w14:textId="77777777" w:rsidR="00743A2E" w:rsidRDefault="00000000">
      <w:r>
        <w:t>Une dérogation doit rester :</w:t>
      </w:r>
    </w:p>
    <w:p w14:paraId="5077E512" w14:textId="77777777" w:rsidR="00743A2E" w:rsidRDefault="00000000">
      <w:pPr>
        <w:pStyle w:val="ListBullet"/>
        <w:numPr>
          <w:ilvl w:val="0"/>
          <w:numId w:val="2"/>
        </w:numPr>
      </w:pPr>
      <w:r>
        <w:lastRenderedPageBreak/>
        <w:t>limitée à une ressource ou un client;</w:t>
      </w:r>
    </w:p>
    <w:p w14:paraId="229BCF10" w14:textId="77777777" w:rsidR="00743A2E" w:rsidRDefault="00000000">
      <w:pPr>
        <w:pStyle w:val="ListBullet"/>
        <w:numPr>
          <w:ilvl w:val="0"/>
          <w:numId w:val="2"/>
        </w:numPr>
      </w:pPr>
      <w:r>
        <w:t>limitée dans le temps;</w:t>
      </w:r>
    </w:p>
    <w:p w14:paraId="4E636563" w14:textId="77777777" w:rsidR="00743A2E" w:rsidRDefault="00000000">
      <w:pPr>
        <w:pStyle w:val="ListBullet"/>
        <w:numPr>
          <w:ilvl w:val="0"/>
          <w:numId w:val="2"/>
        </w:numPr>
      </w:pPr>
      <w:r>
        <w:t>motivée;</w:t>
      </w:r>
    </w:p>
    <w:p w14:paraId="5635793B" w14:textId="77777777" w:rsidR="00743A2E" w:rsidRDefault="00000000">
      <w:pPr>
        <w:pStyle w:val="ListBullet"/>
        <w:numPr>
          <w:ilvl w:val="0"/>
          <w:numId w:val="2"/>
        </w:numPr>
      </w:pPr>
      <w:r>
        <w:t>attribuée à un Agent identifié;</w:t>
      </w:r>
    </w:p>
    <w:p w14:paraId="5C78A659" w14:textId="77777777" w:rsidR="00743A2E" w:rsidRDefault="00000000">
      <w:pPr>
        <w:pStyle w:val="ListBullet"/>
        <w:numPr>
          <w:ilvl w:val="0"/>
          <w:numId w:val="2"/>
        </w:numPr>
      </w:pPr>
      <w:r>
        <w:t>consultable dans l’audit.</w:t>
      </w:r>
    </w:p>
    <w:p w14:paraId="1B927CFA" w14:textId="77777777" w:rsidR="00743A2E" w:rsidRDefault="00000000">
      <w:pPr>
        <w:pStyle w:val="Heading3"/>
      </w:pPr>
      <w:r>
        <w:t>Rôle non défini</w:t>
      </w:r>
    </w:p>
    <w:p w14:paraId="5DD131B9" w14:textId="77777777" w:rsidR="00743A2E" w:rsidRDefault="00000000">
      <w:r>
        <w:t>Le rôle 4 est bloqué dans l’interface et par la base. Il ne doit pas servir de rôle provisoire permettant de travailler.</w:t>
      </w:r>
    </w:p>
    <w:p w14:paraId="3D6D7B2C" w14:textId="77777777" w:rsidR="00743A2E" w:rsidRDefault="00000000">
      <w:pPr>
        <w:pStyle w:val="Heading2"/>
      </w:pPr>
      <w:r>
        <w:t>5. Invitations et comptes</w:t>
      </w:r>
    </w:p>
    <w:p w14:paraId="2C1B0F37" w14:textId="77777777" w:rsidR="00743A2E" w:rsidRDefault="00000000">
      <w:pPr>
        <w:pStyle w:val="ListBullet"/>
        <w:numPr>
          <w:ilvl w:val="0"/>
          <w:numId w:val="2"/>
        </w:numPr>
      </w:pPr>
      <w:r>
        <w:t>Admin et Manager peuvent générer des codes pour Manager, Agent et Finance.</w:t>
      </w:r>
    </w:p>
    <w:p w14:paraId="25238EB8" w14:textId="77777777" w:rsidR="00743A2E" w:rsidRDefault="00000000">
      <w:pPr>
        <w:pStyle w:val="ListBullet"/>
        <w:numPr>
          <w:ilvl w:val="0"/>
          <w:numId w:val="2"/>
        </w:numPr>
      </w:pPr>
      <w:r>
        <w:t>Aucun code ne peut attribuer le rôle Admin.</w:t>
      </w:r>
    </w:p>
    <w:p w14:paraId="6026E53C" w14:textId="77777777" w:rsidR="00743A2E" w:rsidRDefault="00000000">
      <w:pPr>
        <w:pStyle w:val="ListBullet"/>
        <w:numPr>
          <w:ilvl w:val="0"/>
          <w:numId w:val="2"/>
        </w:numPr>
      </w:pPr>
      <w:r>
        <w:t>Les codes expirent entre 1 et 30 jours et sont à usage unique.</w:t>
      </w:r>
    </w:p>
    <w:p w14:paraId="4F351812" w14:textId="77777777" w:rsidR="00743A2E" w:rsidRDefault="00000000">
      <w:pPr>
        <w:pStyle w:val="ListBullet"/>
        <w:numPr>
          <w:ilvl w:val="0"/>
          <w:numId w:val="2"/>
        </w:numPr>
      </w:pPr>
      <w:r>
        <w:t>La consommation et l’attribution du rôle sont exécutées côté serveur.</w:t>
      </w:r>
    </w:p>
    <w:p w14:paraId="42E94C3F" w14:textId="77777777" w:rsidR="00743A2E" w:rsidRDefault="00000000">
      <w:pPr>
        <w:pStyle w:val="ListBullet"/>
        <w:numPr>
          <w:ilvl w:val="0"/>
          <w:numId w:val="2"/>
        </w:numPr>
      </w:pPr>
      <w:r>
        <w:t>Les fonctions de génération, consommation et révocation ne sont pas accessibles au rôle anonyme.</w:t>
      </w:r>
    </w:p>
    <w:p w14:paraId="0B1EE156" w14:textId="77777777" w:rsidR="00743A2E" w:rsidRDefault="00000000">
      <w:pPr>
        <w:pStyle w:val="ListBullet"/>
        <w:numPr>
          <w:ilvl w:val="0"/>
          <w:numId w:val="2"/>
        </w:numPr>
      </w:pPr>
      <w:r>
        <w:t>La validation préalable d’un code reste accessible avant inscription, ce qui est nécessaire au parcours utilisateur.</w:t>
      </w:r>
    </w:p>
    <w:p w14:paraId="3AB7488E" w14:textId="77777777" w:rsidR="00743A2E" w:rsidRDefault="00000000">
      <w:r>
        <w:t>La création d’un Admin doit être exceptionnelle et réalisée par le responsable technique via une procédure documentée, avec validation de la direction et preuve d’audit.</w:t>
      </w:r>
    </w:p>
    <w:p w14:paraId="24673ECA" w14:textId="77777777" w:rsidR="00743A2E" w:rsidRDefault="00000000">
      <w:pPr>
        <w:pStyle w:val="Heading2"/>
      </w:pPr>
      <w:r>
        <w:t>6. Politiques Supabase vérifiées</w:t>
      </w:r>
    </w:p>
    <w:p w14:paraId="27E07EA3" w14:textId="77777777" w:rsidR="00743A2E" w:rsidRDefault="00000000">
      <w:pPr>
        <w:spacing w:after="60"/>
        <w:jc w:val="center"/>
      </w:pPr>
      <w:r>
        <w:rPr>
          <w:i/>
          <w:iCs/>
          <w:color w:val="5B6573"/>
          <w:sz w:val="18"/>
          <w:szCs w:val="18"/>
        </w:rPr>
        <w:t>Schéma 1 — Défense en profondeur des opérations sensibles</w:t>
      </w:r>
    </w:p>
    <w:p w14:paraId="6A66EFFB" w14:textId="77777777" w:rsidR="00743A2E" w:rsidRDefault="00000000">
      <w:pPr>
        <w:spacing w:after="140"/>
        <w:jc w:val="center"/>
      </w:pPr>
      <w:r>
        <w:rPr>
          <w:noProof/>
        </w:rPr>
        <w:drawing>
          <wp:inline distT="0" distB="0" distL="0" distR="0" wp14:anchorId="7AD2258E" wp14:editId="6AF79FC3">
            <wp:extent cx="5429250" cy="1762125"/>
            <wp:effectExtent l="0" t="0" r="0" b="0"/>
            <wp:docPr id="1"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extLst>
                        <a:ext uri="{96DAC541-7B7A-43D3-8B79-37D633B846F1}">
                          <asvg:svgBlip xmlns:asvg="http://schemas.microsoft.com/office/drawing/2016/SVG/main" r:embed="rId8"/>
                        </a:ext>
                      </a:extLst>
                    </a:blip>
                    <a:srcRect/>
                    <a:stretch>
                      <a:fillRect/>
                    </a:stretch>
                  </pic:blipFill>
                  <pic:spPr bwMode="auto">
                    <a:xfrm>
                      <a:off x="0" y="0"/>
                      <a:ext cx="5429250" cy="1762125"/>
                    </a:xfrm>
                    <a:prstGeom prst="rect">
                      <a:avLst/>
                    </a:prstGeom>
                  </pic:spPr>
                </pic:pic>
              </a:graphicData>
            </a:graphic>
          </wp:inline>
        </w:drawing>
      </w:r>
    </w:p>
    <w:p w14:paraId="0A1155F1" w14:textId="77777777" w:rsidR="00743A2E" w:rsidRDefault="00000000">
      <w:r>
        <w:t xml:space="preserve">Les cinq tables métier principales disposent de politiques RLS distinctes pour </w:t>
      </w:r>
      <w:r>
        <w:rPr>
          <w:rFonts w:ascii="Cascadia Mono" w:eastAsia="Cascadia Mono" w:hAnsi="Cascadia Mono" w:cs="Cascadia Mono"/>
          <w:color w:val="1F4D78"/>
        </w:rPr>
        <w:t>SELECT</w:t>
      </w:r>
      <w:r>
        <w:t xml:space="preserve">, </w:t>
      </w:r>
      <w:r>
        <w:rPr>
          <w:rFonts w:ascii="Cascadia Mono" w:eastAsia="Cascadia Mono" w:hAnsi="Cascadia Mono" w:cs="Cascadia Mono"/>
          <w:color w:val="1F4D78"/>
        </w:rPr>
        <w:t>INSERT</w:t>
      </w:r>
      <w:r>
        <w:t xml:space="preserve">, </w:t>
      </w:r>
      <w:r>
        <w:rPr>
          <w:rFonts w:ascii="Cascadia Mono" w:eastAsia="Cascadia Mono" w:hAnsi="Cascadia Mono" w:cs="Cascadia Mono"/>
          <w:color w:val="1F4D78"/>
        </w:rPr>
        <w:t>UPDATE</w:t>
      </w:r>
      <w:r>
        <w:t xml:space="preserve"> et </w:t>
      </w:r>
      <w:r>
        <w:rPr>
          <w:rFonts w:ascii="Cascadia Mono" w:eastAsia="Cascadia Mono" w:hAnsi="Cascadia Mono" w:cs="Cascadia Mono"/>
          <w:color w:val="1F4D78"/>
        </w:rPr>
        <w:t>DELETE</w:t>
      </w:r>
      <w:r>
        <w:t>.</w:t>
      </w:r>
    </w:p>
    <w:p w14:paraId="561AA54A" w14:textId="77777777" w:rsidR="00743A2E" w:rsidRDefault="00000000">
      <w:r>
        <w:t>État vérifié :</w:t>
      </w:r>
    </w:p>
    <w:p w14:paraId="5743DE33" w14:textId="77777777" w:rsidR="00743A2E" w:rsidRDefault="00000000">
      <w:pPr>
        <w:pStyle w:val="ListBullet"/>
        <w:numPr>
          <w:ilvl w:val="0"/>
          <w:numId w:val="2"/>
        </w:numPr>
      </w:pPr>
      <w:r>
        <w:t xml:space="preserve">aucune politique métier n’est attribuée à </w:t>
      </w:r>
      <w:r>
        <w:rPr>
          <w:rFonts w:ascii="Cascadia Mono" w:eastAsia="Cascadia Mono" w:hAnsi="Cascadia Mono" w:cs="Cascadia Mono"/>
          <w:color w:val="1F4D78"/>
        </w:rPr>
        <w:t>public</w:t>
      </w:r>
      <w:r>
        <w:t>;</w:t>
      </w:r>
    </w:p>
    <w:p w14:paraId="61B02DF5" w14:textId="77777777" w:rsidR="00743A2E" w:rsidRDefault="00000000">
      <w:pPr>
        <w:pStyle w:val="ListBullet"/>
        <w:numPr>
          <w:ilvl w:val="0"/>
          <w:numId w:val="2"/>
        </w:numPr>
      </w:pPr>
      <w:r>
        <w:t>seuls les profils actifs peuvent lire les données métier;</w:t>
      </w:r>
    </w:p>
    <w:p w14:paraId="3EDFEB44" w14:textId="77777777" w:rsidR="00743A2E" w:rsidRDefault="00000000">
      <w:pPr>
        <w:pStyle w:val="ListBullet"/>
        <w:numPr>
          <w:ilvl w:val="0"/>
          <w:numId w:val="2"/>
        </w:numPr>
      </w:pPr>
      <w:r>
        <w:t>les insertions vérifient le rôle actif et l’auteur déclaré;</w:t>
      </w:r>
    </w:p>
    <w:p w14:paraId="2F5172AF" w14:textId="77777777" w:rsidR="00743A2E" w:rsidRDefault="00000000">
      <w:pPr>
        <w:pStyle w:val="ListBullet"/>
        <w:numPr>
          <w:ilvl w:val="0"/>
          <w:numId w:val="2"/>
        </w:numPr>
      </w:pPr>
      <w:r>
        <w:t>Admin, Manager et Finance passent le contrôle d’écriture global;</w:t>
      </w:r>
    </w:p>
    <w:p w14:paraId="62A97B63" w14:textId="77777777" w:rsidR="00743A2E" w:rsidRDefault="00000000">
      <w:pPr>
        <w:pStyle w:val="ListBullet"/>
        <w:numPr>
          <w:ilvl w:val="0"/>
          <w:numId w:val="2"/>
        </w:numPr>
      </w:pPr>
      <w:r>
        <w:t>l’Agent passe uniquement si une dérogation active couvre la ressource;</w:t>
      </w:r>
    </w:p>
    <w:p w14:paraId="1AEF80AD" w14:textId="77777777" w:rsidR="00743A2E" w:rsidRDefault="00000000">
      <w:pPr>
        <w:pStyle w:val="ListBullet"/>
        <w:numPr>
          <w:ilvl w:val="0"/>
          <w:numId w:val="2"/>
        </w:numPr>
      </w:pPr>
      <w:r>
        <w:lastRenderedPageBreak/>
        <w:t>le rôle 4 et les utilisateurs anonymes sont refusés;</w:t>
      </w:r>
    </w:p>
    <w:p w14:paraId="71281C0D" w14:textId="77777777" w:rsidR="00743A2E" w:rsidRDefault="00000000">
      <w:pPr>
        <w:pStyle w:val="ListBullet"/>
        <w:numPr>
          <w:ilvl w:val="0"/>
          <w:numId w:val="2"/>
        </w:numPr>
      </w:pPr>
      <w:r>
        <w:rPr>
          <w:rFonts w:ascii="Cascadia Mono" w:eastAsia="Cascadia Mono" w:hAnsi="Cascadia Mono" w:cs="Cascadia Mono"/>
          <w:color w:val="1F4D78"/>
        </w:rPr>
        <w:t>created_by</w:t>
      </w:r>
      <w:r>
        <w:t xml:space="preserve"> est conservé lors des modifications;</w:t>
      </w:r>
    </w:p>
    <w:p w14:paraId="2AC90933" w14:textId="77777777" w:rsidR="00743A2E" w:rsidRDefault="00000000">
      <w:pPr>
        <w:pStyle w:val="ListBullet"/>
        <w:numPr>
          <w:ilvl w:val="0"/>
          <w:numId w:val="2"/>
        </w:numPr>
      </w:pPr>
      <w:r>
        <w:t xml:space="preserve">la table </w:t>
      </w:r>
      <w:r>
        <w:rPr>
          <w:rFonts w:ascii="Cascadia Mono" w:eastAsia="Cascadia Mono" w:hAnsi="Cascadia Mono" w:cs="Cascadia Mono"/>
          <w:color w:val="1F4D78"/>
        </w:rPr>
        <w:t>profiles</w:t>
      </w:r>
      <w:r>
        <w:t xml:space="preserve"> n’a plus de politique générale </w:t>
      </w:r>
      <w:r>
        <w:rPr>
          <w:rFonts w:ascii="Cascadia Mono" w:eastAsia="Cascadia Mono" w:hAnsi="Cascadia Mono" w:cs="Cascadia Mono"/>
          <w:color w:val="1F4D78"/>
        </w:rPr>
        <w:t>true</w:t>
      </w:r>
      <w:r>
        <w:t>.</w:t>
      </w:r>
    </w:p>
    <w:p w14:paraId="7D72A158" w14:textId="77777777" w:rsidR="00743A2E" w:rsidRDefault="00000000">
      <w:pPr>
        <w:pStyle w:val="Heading2"/>
      </w:pPr>
      <w:r>
        <w:t>7. Intégrité et traçabilité</w:t>
      </w:r>
    </w:p>
    <w:p w14:paraId="31A4B989" w14:textId="77777777" w:rsidR="00743A2E" w:rsidRDefault="00000000">
      <w:pPr>
        <w:pStyle w:val="Heading3"/>
      </w:pPr>
      <w:r>
        <w:t>Auteur de création</w:t>
      </w:r>
    </w:p>
    <w:p w14:paraId="176E8D52" w14:textId="77777777" w:rsidR="00743A2E" w:rsidRDefault="00000000">
      <w:r>
        <w:rPr>
          <w:rFonts w:ascii="Cascadia Mono" w:eastAsia="Cascadia Mono" w:hAnsi="Cascadia Mono" w:cs="Cascadia Mono"/>
          <w:color w:val="1F4D78"/>
        </w:rPr>
        <w:t>created_by</w:t>
      </w:r>
      <w:r>
        <w:t xml:space="preserve"> représente la personne ayant créé l’enregistrement. Il ne doit pas être remplacé par l’auteur d’une correction ultérieure. L’application conserve la valeur d’origine et un trigger serveur empêche sa modification directe.</w:t>
      </w:r>
    </w:p>
    <w:p w14:paraId="07304062" w14:textId="77777777" w:rsidR="00743A2E" w:rsidRDefault="00000000">
      <w:pPr>
        <w:pStyle w:val="Heading3"/>
      </w:pPr>
      <w:r>
        <w:t>Audit</w:t>
      </w:r>
    </w:p>
    <w:p w14:paraId="6122AEEA" w14:textId="77777777" w:rsidR="00743A2E" w:rsidRDefault="00000000">
      <w:r>
        <w:t>Les accès temporaires et actions sensibles doivent permettre de répondre à :</w:t>
      </w:r>
    </w:p>
    <w:p w14:paraId="0A9D3382" w14:textId="77777777" w:rsidR="00743A2E" w:rsidRDefault="00000000">
      <w:pPr>
        <w:pStyle w:val="ListBullet"/>
        <w:numPr>
          <w:ilvl w:val="0"/>
          <w:numId w:val="2"/>
        </w:numPr>
      </w:pPr>
      <w:r>
        <w:t>qui a agi;</w:t>
      </w:r>
    </w:p>
    <w:p w14:paraId="4BCDB64D" w14:textId="77777777" w:rsidR="00743A2E" w:rsidRDefault="00000000">
      <w:pPr>
        <w:pStyle w:val="ListBullet"/>
        <w:numPr>
          <w:ilvl w:val="0"/>
          <w:numId w:val="2"/>
        </w:numPr>
      </w:pPr>
      <w:r>
        <w:t>sur quelle ressource;</w:t>
      </w:r>
    </w:p>
    <w:p w14:paraId="2DD78B07" w14:textId="77777777" w:rsidR="00743A2E" w:rsidRDefault="00000000">
      <w:pPr>
        <w:pStyle w:val="ListBullet"/>
        <w:numPr>
          <w:ilvl w:val="0"/>
          <w:numId w:val="2"/>
        </w:numPr>
      </w:pPr>
      <w:r>
        <w:t>à quelle date;</w:t>
      </w:r>
    </w:p>
    <w:p w14:paraId="40FD6A54" w14:textId="77777777" w:rsidR="00743A2E" w:rsidRDefault="00000000">
      <w:pPr>
        <w:pStyle w:val="ListBullet"/>
        <w:numPr>
          <w:ilvl w:val="0"/>
          <w:numId w:val="2"/>
        </w:numPr>
      </w:pPr>
      <w:r>
        <w:t>avec quelle autorisation;</w:t>
      </w:r>
    </w:p>
    <w:p w14:paraId="54E4E9BD" w14:textId="77777777" w:rsidR="00743A2E" w:rsidRDefault="00000000">
      <w:pPr>
        <w:pStyle w:val="ListBullet"/>
        <w:numPr>
          <w:ilvl w:val="0"/>
          <w:numId w:val="2"/>
        </w:numPr>
      </w:pPr>
      <w:r>
        <w:t>quelle était la valeur avant;</w:t>
      </w:r>
    </w:p>
    <w:p w14:paraId="6CE7CD9A" w14:textId="77777777" w:rsidR="00743A2E" w:rsidRDefault="00000000">
      <w:pPr>
        <w:pStyle w:val="ListBullet"/>
        <w:numPr>
          <w:ilvl w:val="0"/>
          <w:numId w:val="2"/>
        </w:numPr>
      </w:pPr>
      <w:r>
        <w:t>quelle est la valeur après;</w:t>
      </w:r>
    </w:p>
    <w:p w14:paraId="13C773E6" w14:textId="77777777" w:rsidR="00743A2E" w:rsidRDefault="00000000">
      <w:pPr>
        <w:pStyle w:val="ListBullet"/>
        <w:numPr>
          <w:ilvl w:val="0"/>
          <w:numId w:val="2"/>
        </w:numPr>
      </w:pPr>
      <w:r>
        <w:t>quel motif a été donné.</w:t>
      </w:r>
    </w:p>
    <w:p w14:paraId="65B60835" w14:textId="77777777" w:rsidR="00743A2E" w:rsidRDefault="00000000">
      <w:r>
        <w:t>Les journaux ne remplacent pas une procédure de revue. Le responsable désigné doit les consulter périodiquement.</w:t>
      </w:r>
    </w:p>
    <w:p w14:paraId="1365C84D" w14:textId="77777777" w:rsidR="00743A2E" w:rsidRDefault="00000000">
      <w:pPr>
        <w:pStyle w:val="Heading2"/>
      </w:pPr>
      <w:r>
        <w:t>8. Secrets et configuration</w:t>
      </w:r>
    </w:p>
    <w:p w14:paraId="42C1ECCB" w14:textId="77777777" w:rsidR="00743A2E" w:rsidRDefault="00000000">
      <w:r>
        <w:t>Sont considérés comme secrets :</w:t>
      </w:r>
    </w:p>
    <w:p w14:paraId="24A5F1C7" w14:textId="77777777" w:rsidR="00743A2E" w:rsidRDefault="00000000">
      <w:pPr>
        <w:pStyle w:val="ListBullet"/>
        <w:numPr>
          <w:ilvl w:val="0"/>
          <w:numId w:val="2"/>
        </w:numPr>
      </w:pPr>
      <w:r>
        <w:t xml:space="preserve">jetons Supabase Management </w:t>
      </w:r>
      <w:r>
        <w:rPr>
          <w:rFonts w:ascii="Cascadia Mono" w:eastAsia="Cascadia Mono" w:hAnsi="Cascadia Mono" w:cs="Cascadia Mono"/>
          <w:color w:val="1F4D78"/>
        </w:rPr>
        <w:t>sbp_...</w:t>
      </w:r>
      <w:r>
        <w:t>;</w:t>
      </w:r>
    </w:p>
    <w:p w14:paraId="0D392475" w14:textId="77777777" w:rsidR="00743A2E" w:rsidRDefault="00000000">
      <w:pPr>
        <w:pStyle w:val="ListBullet"/>
        <w:numPr>
          <w:ilvl w:val="0"/>
          <w:numId w:val="2"/>
        </w:numPr>
      </w:pPr>
      <w:r>
        <w:t xml:space="preserve">clés de service </w:t>
      </w:r>
      <w:r>
        <w:rPr>
          <w:rFonts w:ascii="Cascadia Mono" w:eastAsia="Cascadia Mono" w:hAnsi="Cascadia Mono" w:cs="Cascadia Mono"/>
          <w:color w:val="1F4D78"/>
        </w:rPr>
        <w:t>service_role</w:t>
      </w:r>
      <w:r>
        <w:t>;</w:t>
      </w:r>
    </w:p>
    <w:p w14:paraId="643842B7" w14:textId="77777777" w:rsidR="00743A2E" w:rsidRDefault="00000000">
      <w:pPr>
        <w:pStyle w:val="ListBullet"/>
        <w:numPr>
          <w:ilvl w:val="0"/>
          <w:numId w:val="2"/>
        </w:numPr>
      </w:pPr>
      <w:r>
        <w:t>mots de passe de base de données;</w:t>
      </w:r>
    </w:p>
    <w:p w14:paraId="5D6458BF" w14:textId="77777777" w:rsidR="00743A2E" w:rsidRDefault="00000000">
      <w:pPr>
        <w:pStyle w:val="ListBullet"/>
        <w:numPr>
          <w:ilvl w:val="0"/>
          <w:numId w:val="2"/>
        </w:numPr>
      </w:pPr>
      <w:r>
        <w:t>clés de déploiement;</w:t>
      </w:r>
    </w:p>
    <w:p w14:paraId="6DAD714C" w14:textId="77777777" w:rsidR="00743A2E" w:rsidRDefault="00000000">
      <w:pPr>
        <w:pStyle w:val="ListBullet"/>
        <w:numPr>
          <w:ilvl w:val="0"/>
          <w:numId w:val="2"/>
        </w:numPr>
      </w:pPr>
      <w:r>
        <w:t>jetons de plateformes tierces.</w:t>
      </w:r>
    </w:p>
    <w:p w14:paraId="31E06F9D" w14:textId="77777777" w:rsidR="00743A2E" w:rsidRDefault="00000000">
      <w:r>
        <w:t>Règles :</w:t>
      </w:r>
    </w:p>
    <w:p w14:paraId="0A26AF62" w14:textId="77777777" w:rsidR="00743A2E" w:rsidRDefault="00000000">
      <w:pPr>
        <w:pStyle w:val="ListBullet"/>
        <w:numPr>
          <w:ilvl w:val="0"/>
          <w:numId w:val="2"/>
        </w:numPr>
      </w:pPr>
      <w:r>
        <w:t>les fournir uniquement par un gestionnaire de secrets ou une variable d’environnement;</w:t>
      </w:r>
    </w:p>
    <w:p w14:paraId="0922F1CF" w14:textId="77777777" w:rsidR="00743A2E" w:rsidRDefault="00000000">
      <w:pPr>
        <w:pStyle w:val="ListBullet"/>
        <w:numPr>
          <w:ilvl w:val="0"/>
          <w:numId w:val="2"/>
        </w:numPr>
      </w:pPr>
      <w:r>
        <w:t>ne jamais les placer dans Git, Markdown, Word, courriel ou messagerie non prévue;</w:t>
      </w:r>
    </w:p>
    <w:p w14:paraId="1CA35650" w14:textId="77777777" w:rsidR="00743A2E" w:rsidRDefault="00000000">
      <w:pPr>
        <w:pStyle w:val="ListBullet"/>
        <w:numPr>
          <w:ilvl w:val="0"/>
          <w:numId w:val="2"/>
        </w:numPr>
      </w:pPr>
      <w:r>
        <w:t>révoquer immédiatement un secret exposé;</w:t>
      </w:r>
    </w:p>
    <w:p w14:paraId="4132F2CF" w14:textId="77777777" w:rsidR="00743A2E" w:rsidRDefault="00000000">
      <w:pPr>
        <w:pStyle w:val="ListBullet"/>
        <w:numPr>
          <w:ilvl w:val="0"/>
          <w:numId w:val="2"/>
        </w:numPr>
      </w:pPr>
      <w:r>
        <w:t>vérifier l’historique Git, pas seulement le fichier actuel;</w:t>
      </w:r>
    </w:p>
    <w:p w14:paraId="5A99CE6F" w14:textId="77777777" w:rsidR="00743A2E" w:rsidRDefault="00000000">
      <w:pPr>
        <w:pStyle w:val="ListBullet"/>
        <w:numPr>
          <w:ilvl w:val="0"/>
          <w:numId w:val="2"/>
        </w:numPr>
      </w:pPr>
      <w:r>
        <w:t>limiter la durée et les permissions du jeton.</w:t>
      </w:r>
    </w:p>
    <w:p w14:paraId="1A00E709" w14:textId="77777777" w:rsidR="001B7F16" w:rsidRDefault="001B7F16">
      <w:pPr>
        <w:pStyle w:val="Heading2"/>
      </w:pPr>
    </w:p>
    <w:p w14:paraId="36438FDB" w14:textId="2DE7359F" w:rsidR="00743A2E" w:rsidRDefault="00000000">
      <w:pPr>
        <w:pStyle w:val="Heading2"/>
      </w:pPr>
      <w:r>
        <w:t>9. Appareils et sessions</w:t>
      </w:r>
    </w:p>
    <w:p w14:paraId="58F28765" w14:textId="77777777" w:rsidR="00743A2E" w:rsidRDefault="00000000">
      <w:pPr>
        <w:pStyle w:val="ListBullet"/>
        <w:numPr>
          <w:ilvl w:val="0"/>
          <w:numId w:val="2"/>
        </w:numPr>
      </w:pPr>
      <w:r>
        <w:t>Activer le verrouillage de l’appareil.</w:t>
      </w:r>
    </w:p>
    <w:p w14:paraId="6B41086D" w14:textId="77777777" w:rsidR="00743A2E" w:rsidRDefault="00000000">
      <w:pPr>
        <w:pStyle w:val="ListBullet"/>
        <w:numPr>
          <w:ilvl w:val="0"/>
          <w:numId w:val="2"/>
        </w:numPr>
      </w:pPr>
      <w:r>
        <w:t>Ne pas mémoriser le mot de passe dans un appareil partagé non maîtrisé.</w:t>
      </w:r>
    </w:p>
    <w:p w14:paraId="38ED3C87" w14:textId="77777777" w:rsidR="00743A2E" w:rsidRDefault="00000000">
      <w:pPr>
        <w:pStyle w:val="ListBullet"/>
        <w:numPr>
          <w:ilvl w:val="0"/>
          <w:numId w:val="2"/>
        </w:numPr>
      </w:pPr>
      <w:r>
        <w:t>Se déconnecter avant de remettre l’appareil à une autre personne.</w:t>
      </w:r>
    </w:p>
    <w:p w14:paraId="0037D57F" w14:textId="77777777" w:rsidR="00743A2E" w:rsidRDefault="00000000">
      <w:pPr>
        <w:pStyle w:val="ListBullet"/>
        <w:numPr>
          <w:ilvl w:val="0"/>
          <w:numId w:val="2"/>
        </w:numPr>
      </w:pPr>
      <w:r>
        <w:t>Déclarer immédiatement la perte ou le vol.</w:t>
      </w:r>
    </w:p>
    <w:p w14:paraId="7906236E" w14:textId="77777777" w:rsidR="00743A2E" w:rsidRDefault="00000000">
      <w:pPr>
        <w:pStyle w:val="ListBullet"/>
        <w:numPr>
          <w:ilvl w:val="0"/>
          <w:numId w:val="2"/>
        </w:numPr>
      </w:pPr>
      <w:r>
        <w:t>Invalider la session côté serveur lorsque cela est possible.</w:t>
      </w:r>
    </w:p>
    <w:p w14:paraId="7B8A18F0" w14:textId="77777777" w:rsidR="00743A2E" w:rsidRDefault="00000000">
      <w:pPr>
        <w:pStyle w:val="ListBullet"/>
        <w:numPr>
          <w:ilvl w:val="0"/>
          <w:numId w:val="2"/>
        </w:numPr>
      </w:pPr>
      <w:r>
        <w:t>Ne pas utiliser le portail sur un appareil rooté, jailbreaké ou non mis à jour sans décision de sécurité.</w:t>
      </w:r>
    </w:p>
    <w:p w14:paraId="7BEB9FA7" w14:textId="77777777" w:rsidR="00743A2E" w:rsidRDefault="00000000">
      <w:r>
        <w:t>Le portail tente de limiter les sessions actives et nettoie la session locale à la déconnexion. Une indisponibilité réseau ne doit jamais empêcher la purge locale.</w:t>
      </w:r>
    </w:p>
    <w:p w14:paraId="1958BC3C" w14:textId="77777777" w:rsidR="00743A2E" w:rsidRDefault="00000000">
      <w:pPr>
        <w:pStyle w:val="Heading2"/>
      </w:pPr>
      <w:r>
        <w:t>10. Procédures d’incident</w:t>
      </w:r>
    </w:p>
    <w:p w14:paraId="7C3A194B" w14:textId="77777777" w:rsidR="00743A2E" w:rsidRDefault="00000000">
      <w:pPr>
        <w:pStyle w:val="Heading3"/>
      </w:pPr>
      <w:r>
        <w:t>Appareil perdu ou volé</w:t>
      </w:r>
    </w:p>
    <w:p w14:paraId="5BE947BB" w14:textId="77777777" w:rsidR="00743A2E" w:rsidRDefault="00000000">
      <w:pPr>
        <w:pStyle w:val="ListNumber"/>
        <w:numPr>
          <w:ilvl w:val="0"/>
          <w:numId w:val="3"/>
        </w:numPr>
      </w:pPr>
      <w:r>
        <w:t>Informer immédiatement Admin et responsable technique.</w:t>
      </w:r>
    </w:p>
    <w:p w14:paraId="1F71C9F2" w14:textId="77777777" w:rsidR="00743A2E" w:rsidRDefault="00000000">
      <w:pPr>
        <w:pStyle w:val="ListNumber"/>
        <w:numPr>
          <w:ilvl w:val="0"/>
          <w:numId w:val="3"/>
        </w:numPr>
      </w:pPr>
      <w:r>
        <w:t>Invalider la session active.</w:t>
      </w:r>
    </w:p>
    <w:p w14:paraId="6B5D09CD" w14:textId="77777777" w:rsidR="00743A2E" w:rsidRDefault="00000000">
      <w:pPr>
        <w:pStyle w:val="ListNumber"/>
        <w:numPr>
          <w:ilvl w:val="0"/>
          <w:numId w:val="3"/>
        </w:numPr>
      </w:pPr>
      <w:r>
        <w:t>Changer le mot de passe du compte.</w:t>
      </w:r>
    </w:p>
    <w:p w14:paraId="6B4DE2D9" w14:textId="77777777" w:rsidR="00743A2E" w:rsidRDefault="00000000">
      <w:pPr>
        <w:pStyle w:val="ListNumber"/>
        <w:numPr>
          <w:ilvl w:val="0"/>
          <w:numId w:val="3"/>
        </w:numPr>
      </w:pPr>
      <w:r>
        <w:t>Rechercher des opérations non reconnues.</w:t>
      </w:r>
    </w:p>
    <w:p w14:paraId="260495E5" w14:textId="77777777" w:rsidR="00743A2E" w:rsidRDefault="00000000">
      <w:pPr>
        <w:pStyle w:val="ListNumber"/>
        <w:numPr>
          <w:ilvl w:val="0"/>
          <w:numId w:val="3"/>
        </w:numPr>
      </w:pPr>
      <w:r>
        <w:t>Examiner les accès temporaires et journaux.</w:t>
      </w:r>
    </w:p>
    <w:p w14:paraId="18F73DCC" w14:textId="77777777" w:rsidR="00743A2E" w:rsidRDefault="00000000">
      <w:pPr>
        <w:pStyle w:val="ListNumber"/>
        <w:numPr>
          <w:ilvl w:val="0"/>
          <w:numId w:val="3"/>
        </w:numPr>
      </w:pPr>
      <w:r>
        <w:t>Documenter l’incident.</w:t>
      </w:r>
    </w:p>
    <w:p w14:paraId="600A7926" w14:textId="77777777" w:rsidR="00743A2E" w:rsidRDefault="00000000">
      <w:pPr>
        <w:pStyle w:val="Heading3"/>
      </w:pPr>
      <w:r>
        <w:t>Jeton ou mot de passe exposé</w:t>
      </w:r>
    </w:p>
    <w:p w14:paraId="0CD68FEF" w14:textId="77777777" w:rsidR="00743A2E" w:rsidRDefault="00000000">
      <w:pPr>
        <w:pStyle w:val="ListNumber"/>
        <w:numPr>
          <w:ilvl w:val="0"/>
          <w:numId w:val="3"/>
        </w:numPr>
      </w:pPr>
      <w:r>
        <w:t>Révoquer ou changer le secret.</w:t>
      </w:r>
    </w:p>
    <w:p w14:paraId="1E5C713C" w14:textId="77777777" w:rsidR="00743A2E" w:rsidRDefault="00000000">
      <w:pPr>
        <w:pStyle w:val="ListNumber"/>
        <w:numPr>
          <w:ilvl w:val="0"/>
          <w:numId w:val="3"/>
        </w:numPr>
      </w:pPr>
      <w:r>
        <w:t>Ne pas se contenter de supprimer le texte du fichier.</w:t>
      </w:r>
    </w:p>
    <w:p w14:paraId="5B70C11E" w14:textId="77777777" w:rsidR="00743A2E" w:rsidRDefault="00000000">
      <w:pPr>
        <w:pStyle w:val="ListNumber"/>
        <w:numPr>
          <w:ilvl w:val="0"/>
          <w:numId w:val="3"/>
        </w:numPr>
      </w:pPr>
      <w:r>
        <w:t>Rechercher son utilisation dans les journaux.</w:t>
      </w:r>
    </w:p>
    <w:p w14:paraId="0FAD9031" w14:textId="77777777" w:rsidR="00743A2E" w:rsidRDefault="00000000">
      <w:pPr>
        <w:pStyle w:val="ListNumber"/>
        <w:numPr>
          <w:ilvl w:val="0"/>
          <w:numId w:val="3"/>
        </w:numPr>
      </w:pPr>
      <w:r>
        <w:t>vérifier Git et les sauvegardes partagées;</w:t>
      </w:r>
    </w:p>
    <w:p w14:paraId="108157AF" w14:textId="77777777" w:rsidR="00743A2E" w:rsidRDefault="00000000">
      <w:pPr>
        <w:pStyle w:val="ListNumber"/>
        <w:numPr>
          <w:ilvl w:val="0"/>
          <w:numId w:val="3"/>
        </w:numPr>
      </w:pPr>
      <w:r>
        <w:t>créer un nouveau secret avec les droits minimums.</w:t>
      </w:r>
    </w:p>
    <w:p w14:paraId="4D0D8AAC" w14:textId="77777777" w:rsidR="00743A2E" w:rsidRDefault="00000000">
      <w:pPr>
        <w:pStyle w:val="Heading3"/>
      </w:pPr>
      <w:r>
        <w:t>Écart de caisse</w:t>
      </w:r>
    </w:p>
    <w:p w14:paraId="1B8DC7DF" w14:textId="77777777" w:rsidR="00743A2E" w:rsidRDefault="00000000">
      <w:pPr>
        <w:pStyle w:val="ListNumber"/>
        <w:numPr>
          <w:ilvl w:val="0"/>
          <w:numId w:val="3"/>
        </w:numPr>
      </w:pPr>
      <w:r>
        <w:t>Ne pas valider tout le lot.</w:t>
      </w:r>
    </w:p>
    <w:p w14:paraId="29397241" w14:textId="77777777" w:rsidR="00743A2E" w:rsidRDefault="00000000">
      <w:pPr>
        <w:pStyle w:val="ListNumber"/>
        <w:numPr>
          <w:ilvl w:val="0"/>
          <w:numId w:val="3"/>
        </w:numPr>
      </w:pPr>
      <w:r>
        <w:t>Isoler l’Agent et la période.</w:t>
      </w:r>
    </w:p>
    <w:p w14:paraId="1BE102F4" w14:textId="77777777" w:rsidR="00743A2E" w:rsidRDefault="00000000">
      <w:pPr>
        <w:pStyle w:val="ListNumber"/>
        <w:numPr>
          <w:ilvl w:val="0"/>
          <w:numId w:val="3"/>
        </w:numPr>
      </w:pPr>
      <w:r>
        <w:t>Comparer les lignes, carnets et montants physiques.</w:t>
      </w:r>
    </w:p>
    <w:p w14:paraId="223B0E3A" w14:textId="77777777" w:rsidR="00743A2E" w:rsidRDefault="00000000">
      <w:pPr>
        <w:pStyle w:val="ListNumber"/>
        <w:numPr>
          <w:ilvl w:val="0"/>
          <w:numId w:val="3"/>
        </w:numPr>
      </w:pPr>
      <w:r>
        <w:t>Identifier les opérations manquantes, dupliquées ou rejetées.</w:t>
      </w:r>
    </w:p>
    <w:p w14:paraId="4E9D9AC4" w14:textId="77777777" w:rsidR="00743A2E" w:rsidRDefault="00000000">
      <w:pPr>
        <w:pStyle w:val="ListNumber"/>
        <w:numPr>
          <w:ilvl w:val="0"/>
          <w:numId w:val="3"/>
        </w:numPr>
      </w:pPr>
      <w:r>
        <w:t>Conserver le motif et les preuves.</w:t>
      </w:r>
    </w:p>
    <w:p w14:paraId="0F4726ED" w14:textId="77777777" w:rsidR="00743A2E" w:rsidRDefault="00000000">
      <w:pPr>
        <w:pStyle w:val="ListNumber"/>
        <w:numPr>
          <w:ilvl w:val="0"/>
          <w:numId w:val="3"/>
        </w:numPr>
      </w:pPr>
      <w:r>
        <w:t>Faire approuver toute correction.</w:t>
      </w:r>
    </w:p>
    <w:p w14:paraId="37ACFDC8" w14:textId="77777777" w:rsidR="00743A2E" w:rsidRDefault="00000000">
      <w:pPr>
        <w:pStyle w:val="Heading3"/>
      </w:pPr>
      <w:r>
        <w:t>Synchronisation en échec</w:t>
      </w:r>
    </w:p>
    <w:p w14:paraId="0290B787" w14:textId="77777777" w:rsidR="00743A2E" w:rsidRDefault="00000000">
      <w:pPr>
        <w:pStyle w:val="ListNumber"/>
        <w:numPr>
          <w:ilvl w:val="0"/>
          <w:numId w:val="3"/>
        </w:numPr>
      </w:pPr>
      <w:r>
        <w:t>Conserver la session et les données locales.</w:t>
      </w:r>
    </w:p>
    <w:p w14:paraId="04DD6FAB" w14:textId="77777777" w:rsidR="00743A2E" w:rsidRDefault="00000000">
      <w:pPr>
        <w:pStyle w:val="ListNumber"/>
        <w:numPr>
          <w:ilvl w:val="0"/>
          <w:numId w:val="3"/>
        </w:numPr>
      </w:pPr>
      <w:r>
        <w:t>Capturer le message d’erreur sans exposer de données sensibles.</w:t>
      </w:r>
    </w:p>
    <w:p w14:paraId="3E119A63" w14:textId="77777777" w:rsidR="00743A2E" w:rsidRDefault="00000000">
      <w:pPr>
        <w:pStyle w:val="ListNumber"/>
        <w:numPr>
          <w:ilvl w:val="0"/>
          <w:numId w:val="3"/>
        </w:numPr>
      </w:pPr>
      <w:r>
        <w:lastRenderedPageBreak/>
        <w:t>Vérifier réseau, session et date de dernière synchronisation.</w:t>
      </w:r>
    </w:p>
    <w:p w14:paraId="445C9954" w14:textId="77777777" w:rsidR="00743A2E" w:rsidRDefault="00000000">
      <w:pPr>
        <w:pStyle w:val="ListNumber"/>
        <w:numPr>
          <w:ilvl w:val="0"/>
          <w:numId w:val="3"/>
        </w:numPr>
      </w:pPr>
      <w:r>
        <w:t>Réessayer.</w:t>
      </w:r>
    </w:p>
    <w:p w14:paraId="2F73001C" w14:textId="77777777" w:rsidR="00743A2E" w:rsidRDefault="00000000">
      <w:pPr>
        <w:pStyle w:val="ListNumber"/>
        <w:numPr>
          <w:ilvl w:val="0"/>
          <w:numId w:val="3"/>
        </w:numPr>
      </w:pPr>
      <w:r>
        <w:t>Ne vider la base qu’après confirmation de la présence des données sur Supabase.</w:t>
      </w:r>
    </w:p>
    <w:sectPr w:rsidR="00743A2E">
      <w:headerReference w:type="default" r:id="rId9"/>
      <w:footerReference w:type="default" r:id="rId10"/>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8A41559" w14:textId="77777777" w:rsidR="003103A8" w:rsidRDefault="003103A8">
      <w:pPr>
        <w:spacing w:after="0" w:line="240" w:lineRule="auto"/>
      </w:pPr>
      <w:r>
        <w:separator/>
      </w:r>
    </w:p>
  </w:endnote>
  <w:endnote w:type="continuationSeparator" w:id="0">
    <w:p w14:paraId="78E21225" w14:textId="77777777" w:rsidR="003103A8" w:rsidRDefault="003103A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scadia Mono">
    <w:panose1 w:val="020B0609020000020004"/>
    <w:charset w:val="00"/>
    <w:family w:val="modern"/>
    <w:pitch w:val="fixed"/>
    <w:sig w:usb0="A1002AFF" w:usb1="C200F9FB" w:usb2="00040020"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8B4A2C" w14:textId="77777777" w:rsidR="00743A2E" w:rsidRDefault="00743A2E">
    <w:pPr>
      <w:spacing w:after="0"/>
      <w:jc w:val="righ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FC0D58B" w14:textId="77777777" w:rsidR="003103A8" w:rsidRDefault="003103A8">
      <w:pPr>
        <w:spacing w:after="0" w:line="240" w:lineRule="auto"/>
      </w:pPr>
      <w:r>
        <w:separator/>
      </w:r>
    </w:p>
  </w:footnote>
  <w:footnote w:type="continuationSeparator" w:id="0">
    <w:p w14:paraId="0332DE89" w14:textId="77777777" w:rsidR="003103A8" w:rsidRDefault="003103A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D065EA" w14:textId="77777777" w:rsidR="00743A2E" w:rsidRDefault="00000000">
    <w:pPr>
      <w:spacing w:after="0"/>
    </w:pPr>
    <w:r>
      <w:rPr>
        <w:b/>
        <w:bCs/>
        <w:color w:val="5B6573"/>
        <w:sz w:val="17"/>
        <w:szCs w:val="17"/>
      </w:rPr>
      <w:t>BSO Portal  |  Sécurité et vigilance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6F00E4B"/>
    <w:multiLevelType w:val="hybridMultilevel"/>
    <w:tmpl w:val="2BACD322"/>
    <w:lvl w:ilvl="0" w:tplc="5C268202">
      <w:start w:val="1"/>
      <w:numFmt w:val="bullet"/>
      <w:lvlText w:val="•"/>
      <w:lvlJc w:val="left"/>
      <w:pPr>
        <w:ind w:left="720" w:hanging="360"/>
      </w:pPr>
    </w:lvl>
    <w:lvl w:ilvl="1" w:tplc="EC2E3C66">
      <w:numFmt w:val="decimal"/>
      <w:lvlText w:val=""/>
      <w:lvlJc w:val="left"/>
    </w:lvl>
    <w:lvl w:ilvl="2" w:tplc="9D3C9EB2">
      <w:numFmt w:val="decimal"/>
      <w:lvlText w:val=""/>
      <w:lvlJc w:val="left"/>
    </w:lvl>
    <w:lvl w:ilvl="3" w:tplc="C3F8809A">
      <w:numFmt w:val="decimal"/>
      <w:lvlText w:val=""/>
      <w:lvlJc w:val="left"/>
    </w:lvl>
    <w:lvl w:ilvl="4" w:tplc="2B1E9560">
      <w:numFmt w:val="decimal"/>
      <w:lvlText w:val=""/>
      <w:lvlJc w:val="left"/>
    </w:lvl>
    <w:lvl w:ilvl="5" w:tplc="EBDE2572">
      <w:numFmt w:val="decimal"/>
      <w:lvlText w:val=""/>
      <w:lvlJc w:val="left"/>
    </w:lvl>
    <w:lvl w:ilvl="6" w:tplc="DF566BD0">
      <w:numFmt w:val="decimal"/>
      <w:lvlText w:val=""/>
      <w:lvlJc w:val="left"/>
    </w:lvl>
    <w:lvl w:ilvl="7" w:tplc="6BEE07BC">
      <w:numFmt w:val="decimal"/>
      <w:lvlText w:val=""/>
      <w:lvlJc w:val="left"/>
    </w:lvl>
    <w:lvl w:ilvl="8" w:tplc="0E2C1E12">
      <w:numFmt w:val="decimal"/>
      <w:lvlText w:val=""/>
      <w:lvlJc w:val="left"/>
    </w:lvl>
  </w:abstractNum>
  <w:abstractNum w:abstractNumId="1" w15:restartNumberingAfterBreak="0">
    <w:nsid w:val="56B10FFF"/>
    <w:multiLevelType w:val="hybridMultilevel"/>
    <w:tmpl w:val="A6DE02A6"/>
    <w:lvl w:ilvl="0" w:tplc="F13C5280">
      <w:start w:val="1"/>
      <w:numFmt w:val="decimal"/>
      <w:lvlText w:val="%1."/>
      <w:lvlJc w:val="left"/>
      <w:pPr>
        <w:ind w:left="720" w:hanging="360"/>
      </w:pPr>
    </w:lvl>
    <w:lvl w:ilvl="1" w:tplc="8B0CE760">
      <w:numFmt w:val="decimal"/>
      <w:lvlText w:val=""/>
      <w:lvlJc w:val="left"/>
    </w:lvl>
    <w:lvl w:ilvl="2" w:tplc="001228E2">
      <w:numFmt w:val="decimal"/>
      <w:lvlText w:val=""/>
      <w:lvlJc w:val="left"/>
    </w:lvl>
    <w:lvl w:ilvl="3" w:tplc="AC2E14EC">
      <w:numFmt w:val="decimal"/>
      <w:lvlText w:val=""/>
      <w:lvlJc w:val="left"/>
    </w:lvl>
    <w:lvl w:ilvl="4" w:tplc="27EAACB2">
      <w:numFmt w:val="decimal"/>
      <w:lvlText w:val=""/>
      <w:lvlJc w:val="left"/>
    </w:lvl>
    <w:lvl w:ilvl="5" w:tplc="9F6C9ED0">
      <w:numFmt w:val="decimal"/>
      <w:lvlText w:val=""/>
      <w:lvlJc w:val="left"/>
    </w:lvl>
    <w:lvl w:ilvl="6" w:tplc="3006D2F2">
      <w:numFmt w:val="decimal"/>
      <w:lvlText w:val=""/>
      <w:lvlJc w:val="left"/>
    </w:lvl>
    <w:lvl w:ilvl="7" w:tplc="44B8DA24">
      <w:numFmt w:val="decimal"/>
      <w:lvlText w:val=""/>
      <w:lvlJc w:val="left"/>
    </w:lvl>
    <w:lvl w:ilvl="8" w:tplc="51164532">
      <w:numFmt w:val="decimal"/>
      <w:lvlText w:val=""/>
      <w:lvlJc w:val="left"/>
    </w:lvl>
  </w:abstractNum>
  <w:abstractNum w:abstractNumId="2" w15:restartNumberingAfterBreak="0">
    <w:nsid w:val="750C1558"/>
    <w:multiLevelType w:val="hybridMultilevel"/>
    <w:tmpl w:val="FD9287EC"/>
    <w:lvl w:ilvl="0" w:tplc="E21A7CA2">
      <w:start w:val="1"/>
      <w:numFmt w:val="bullet"/>
      <w:lvlText w:val="●"/>
      <w:lvlJc w:val="left"/>
      <w:pPr>
        <w:ind w:left="720" w:hanging="360"/>
      </w:pPr>
    </w:lvl>
    <w:lvl w:ilvl="1" w:tplc="BE30F0AC">
      <w:start w:val="1"/>
      <w:numFmt w:val="bullet"/>
      <w:lvlText w:val="○"/>
      <w:lvlJc w:val="left"/>
      <w:pPr>
        <w:ind w:left="1440" w:hanging="360"/>
      </w:pPr>
    </w:lvl>
    <w:lvl w:ilvl="2" w:tplc="B15CB96C">
      <w:start w:val="1"/>
      <w:numFmt w:val="bullet"/>
      <w:lvlText w:val="■"/>
      <w:lvlJc w:val="left"/>
      <w:pPr>
        <w:ind w:left="2160" w:hanging="360"/>
      </w:pPr>
    </w:lvl>
    <w:lvl w:ilvl="3" w:tplc="16D8B244">
      <w:start w:val="1"/>
      <w:numFmt w:val="bullet"/>
      <w:lvlText w:val="●"/>
      <w:lvlJc w:val="left"/>
      <w:pPr>
        <w:ind w:left="2880" w:hanging="360"/>
      </w:pPr>
    </w:lvl>
    <w:lvl w:ilvl="4" w:tplc="8A94F9BC">
      <w:start w:val="1"/>
      <w:numFmt w:val="bullet"/>
      <w:lvlText w:val="○"/>
      <w:lvlJc w:val="left"/>
      <w:pPr>
        <w:ind w:left="3600" w:hanging="360"/>
      </w:pPr>
    </w:lvl>
    <w:lvl w:ilvl="5" w:tplc="4DB8E596">
      <w:start w:val="1"/>
      <w:numFmt w:val="bullet"/>
      <w:lvlText w:val="■"/>
      <w:lvlJc w:val="left"/>
      <w:pPr>
        <w:ind w:left="4320" w:hanging="360"/>
      </w:pPr>
    </w:lvl>
    <w:lvl w:ilvl="6" w:tplc="2D50AC4A">
      <w:start w:val="1"/>
      <w:numFmt w:val="bullet"/>
      <w:lvlText w:val="●"/>
      <w:lvlJc w:val="left"/>
      <w:pPr>
        <w:ind w:left="5040" w:hanging="360"/>
      </w:pPr>
    </w:lvl>
    <w:lvl w:ilvl="7" w:tplc="49080FBC">
      <w:start w:val="1"/>
      <w:numFmt w:val="bullet"/>
      <w:lvlText w:val="●"/>
      <w:lvlJc w:val="left"/>
      <w:pPr>
        <w:ind w:left="5760" w:hanging="360"/>
      </w:pPr>
    </w:lvl>
    <w:lvl w:ilvl="8" w:tplc="F54C0F96">
      <w:start w:val="1"/>
      <w:numFmt w:val="bullet"/>
      <w:lvlText w:val="●"/>
      <w:lvlJc w:val="left"/>
      <w:pPr>
        <w:ind w:left="6480" w:hanging="360"/>
      </w:pPr>
    </w:lvl>
  </w:abstractNum>
  <w:num w:numId="1" w16cid:durableId="1551186425">
    <w:abstractNumId w:val="2"/>
    <w:lvlOverride w:ilvl="0">
      <w:startOverride w:val="1"/>
    </w:lvlOverride>
  </w:num>
  <w:num w:numId="2" w16cid:durableId="31617023">
    <w:abstractNumId w:val="0"/>
    <w:lvlOverride w:ilvl="0">
      <w:startOverride w:val="1"/>
    </w:lvlOverride>
  </w:num>
  <w:num w:numId="3" w16cid:durableId="1306013533">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isplayBackgroundShape/>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43A2E"/>
    <w:rsid w:val="001B7F16"/>
    <w:rsid w:val="003103A8"/>
    <w:rsid w:val="00743A2E"/>
    <w:rsid w:val="00867F1A"/>
    <w:rsid w:val="00F4051E"/>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4721DC"/>
  <w15:docId w15:val="{C88CB551-11BD-4E93-A729-8597B4F508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ptos" w:eastAsia="Aptos" w:hAnsi="Aptos" w:cs="Aptos"/>
        <w:color w:val="172B4D"/>
        <w:sz w:val="21"/>
        <w:szCs w:val="21"/>
        <w:lang w:val="fr-FR" w:eastAsia="fr-FR" w:bidi="ar-SA"/>
      </w:rPr>
    </w:rPrDefault>
    <w:pPrDefault>
      <w:pPr>
        <w:spacing w:after="12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spacing w:before="320" w:after="160"/>
      <w:outlineLvl w:val="0"/>
    </w:pPr>
    <w:rPr>
      <w:b/>
      <w:bCs/>
      <w:color w:val="2E74B5"/>
      <w:sz w:val="32"/>
      <w:szCs w:val="32"/>
    </w:rPr>
  </w:style>
  <w:style w:type="paragraph" w:styleId="Heading2">
    <w:name w:val="heading 2"/>
    <w:basedOn w:val="Normal"/>
    <w:next w:val="Normal"/>
    <w:uiPriority w:val="9"/>
    <w:unhideWhenUsed/>
    <w:qFormat/>
    <w:pPr>
      <w:keepNext/>
      <w:spacing w:before="240"/>
      <w:outlineLvl w:val="1"/>
    </w:pPr>
    <w:rPr>
      <w:b/>
      <w:bCs/>
      <w:color w:val="2E74B5"/>
      <w:sz w:val="26"/>
      <w:szCs w:val="26"/>
    </w:rPr>
  </w:style>
  <w:style w:type="paragraph" w:styleId="Heading3">
    <w:name w:val="heading 3"/>
    <w:basedOn w:val="Normal"/>
    <w:next w:val="Normal"/>
    <w:uiPriority w:val="9"/>
    <w:unhideWhenUsed/>
    <w:qFormat/>
    <w:pPr>
      <w:keepNext/>
      <w:spacing w:before="180" w:after="90"/>
      <w:outlineLvl w:val="2"/>
    </w:pPr>
    <w:rPr>
      <w:b/>
      <w:bCs/>
      <w:color w:val="1F4D78"/>
      <w:sz w:val="23"/>
      <w:szCs w:val="23"/>
    </w:rPr>
  </w:style>
  <w:style w:type="paragraph" w:styleId="Heading4">
    <w:name w:val="heading 4"/>
    <w:basedOn w:val="Normal"/>
    <w:next w:val="Normal"/>
    <w:uiPriority w:val="9"/>
    <w:semiHidden/>
    <w:unhideWhenUsed/>
    <w:qFormat/>
    <w:pPr>
      <w:outlineLvl w:val="3"/>
    </w:pPr>
    <w:rPr>
      <w:i/>
      <w:iCs/>
      <w:color w:val="2E74B5"/>
    </w:rPr>
  </w:style>
  <w:style w:type="paragraph" w:styleId="Heading5">
    <w:name w:val="heading 5"/>
    <w:basedOn w:val="Normal"/>
    <w:next w:val="Normal"/>
    <w:uiPriority w:val="9"/>
    <w:semiHidden/>
    <w:unhideWhenUsed/>
    <w:qFormat/>
    <w:pPr>
      <w:outlineLvl w:val="4"/>
    </w:pPr>
    <w:rPr>
      <w:color w:val="2E74B5"/>
    </w:rPr>
  </w:style>
  <w:style w:type="paragraph" w:styleId="Heading6">
    <w:name w:val="heading 6"/>
    <w:basedOn w:val="Normal"/>
    <w:next w:val="Normal"/>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Pr>
      <w:sz w:val="56"/>
      <w:szCs w:val="56"/>
    </w:rPr>
  </w:style>
  <w:style w:type="paragraph" w:customStyle="1" w:styleId="Strong1">
    <w:name w:val="Strong1"/>
    <w:basedOn w:val="Normal"/>
    <w:next w:val="Normal"/>
    <w:qFormat/>
    <w:rPr>
      <w:b/>
      <w:bCs/>
    </w:rPr>
  </w:style>
  <w:style w:type="paragraph" w:styleId="ListParagraph">
    <w:name w:val="List Paragraph"/>
    <w:basedOn w:val="Normal"/>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customStyle="1" w:styleId="EndnoteTextChar">
    <w:name w:val="Endnote Text Char"/>
    <w:link w:val="EndnoteText"/>
    <w:uiPriority w:val="99"/>
    <w:semiHidden/>
    <w:unhideWhenUsed/>
    <w:rPr>
      <w:sz w:val="20"/>
      <w:szCs w:val="20"/>
    </w:rPr>
  </w:style>
  <w:style w:type="paragraph" w:customStyle="1" w:styleId="Tabletext">
    <w:name w:val="Table text"/>
    <w:basedOn w:val="Normal"/>
    <w:pPr>
      <w:spacing w:after="50" w:line="240" w:lineRule="auto"/>
    </w:pPr>
    <w:rPr>
      <w:sz w:val="17"/>
      <w:szCs w:val="17"/>
    </w:rPr>
  </w:style>
  <w:style w:type="paragraph" w:styleId="ListBullet">
    <w:name w:val="List Bullet"/>
    <w:basedOn w:val="Normal"/>
    <w:pPr>
      <w:spacing w:after="70"/>
      <w:ind w:left="720" w:hanging="360"/>
    </w:pPr>
  </w:style>
  <w:style w:type="paragraph" w:styleId="ListNumber">
    <w:name w:val="List Number"/>
    <w:basedOn w:val="Normal"/>
    <w:pPr>
      <w:spacing w:after="70"/>
      <w:ind w:left="720" w:hanging="36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sv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7</Pages>
  <Words>1292</Words>
  <Characters>7108</Characters>
  <Application>Microsoft Office Word</Application>
  <DocSecurity>0</DocSecurity>
  <Lines>59</Lines>
  <Paragraphs>16</Paragraphs>
  <ScaleCrop>false</ScaleCrop>
  <Company/>
  <LinksUpToDate>false</LinksUpToDate>
  <CharactersWithSpaces>8384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Points de vigilance et sécurité</dc:title>
  <dc:subject>Documentation du Portail BSO</dc:subject>
  <dc:creator>Codex</dc:creator>
  <dc:description>Document généré à partir de la documentation auditée du Portail BSO.</dc:description>
  <cp:lastModifiedBy>Lenovo</cp:lastModifiedBy>
  <cp:revision>3</cp:revision>
  <dcterms:created xsi:type="dcterms:W3CDTF">2026-08-23T20:49:00Z</dcterms:created>
  <dcterms:modified xsi:type="dcterms:W3CDTF">2026-08-23T20:58:00Z</dcterms:modified>
</cp:coreProperties>
</file>