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39" w:type="dxa"/>
        <w:jc w:val="center"/>
        <w:tblLayout w:type="fixed"/>
        <w:tblLook w:firstColumn="1" w:firstRow="1" w:lastColumn="0" w:lastRow="0" w:noHBand="0" w:noVBand="1" w:val="04A0"/>
      </w:tblPr>
      <w:tblGrid>
        <w:gridCol w:w="6237"/>
        <w:gridCol w:w="3402"/>
      </w:tblGrid>
      <w:tr>
        <w:tc>
          <w:tcPr>
            <w:tcW w:type="dxa" w:w="6236"/>
            <w:shd w:val="clear" w:color="auto" w:fill="2C5F2D"/>
            <w:vAlign w:val="center"/>
          </w:tcPr>
          <w:p>
            <w:pPr>
              <w:spacing w:after="0" w:line="288" w:lineRule="auto"/>
            </w:pPr>
            <w:r/>
            <w:r>
              <w:rPr>
                <w:rFonts w:ascii="游ゴシック" w:hAnsi="游ゴシック" w:eastAsia="游ゴシック"/>
                <w:b/>
                <w:color w:val="FFFFFF"/>
                <w:sz w:val="40"/>
              </w:rPr>
              <w:t>小論文 添削シート</w:t>
            </w:r>
          </w:p>
        </w:tc>
        <w:tc>
          <w:tcPr>
            <w:tcW w:type="dxa" w:w="3402"/>
            <w:shd w:val="clear" w:color="auto" w:fill="2C5F2D"/>
            <w:vAlign w:val="center"/>
          </w:tcPr>
          <w:p>
            <w:pPr>
              <w:spacing w:after="0" w:line="288" w:lineRule="auto"/>
              <w:jc w:val="right"/>
            </w:pPr>
            <w:r/>
            <w:r>
              <w:rPr>
                <w:rFonts w:ascii="游ゴシック" w:hAnsi="游ゴシック" w:eastAsia="游ゴシック"/>
                <w:b/>
                <w:color w:val="FFFFFF"/>
                <w:sz w:val="21"/>
              </w:rPr>
              <w:t>2026-10-17</w:t>
            </w:r>
          </w:p>
          <w:p>
            <w:pPr>
              <w:spacing w:after="0" w:line="288" w:lineRule="auto"/>
            </w:pPr>
            <w:r>
              <w:rPr>
                <w:rFonts w:ascii="游ゴシック" w:hAnsi="游ゴシック" w:eastAsia="游ゴシック"/>
                <w:b/>
                <w:color w:val="FFFFFF"/>
                <w:sz w:val="21"/>
              </w:rPr>
              <w:t>進ノ介</w:t>
            </w:r>
          </w:p>
        </w:tc>
      </w:tr>
    </w:tbl>
    <w:p>
      <w:pPr>
        <w:spacing w:after="40" w:before="0" w:line="300" w:lineRule="auto"/>
      </w:pPr>
    </w:p>
    <w:tbl>
      <w:tblPr>
        <w:tblW w:w="9639" w:type="dxa"/>
        <w:tblBorders>
          <w:top w:val="single" w:sz="4" w:color="DDE8CF"/>
          <w:left w:val="single" w:sz="4" w:color="DDE8CF"/>
          <w:bottom w:val="single" w:sz="4" w:color="DDE8CF"/>
          <w:right w:val="single" w:sz="4" w:color="DDE8CF"/>
          <w:insideH w:val="single" w:sz="4" w:color="DDE8CF"/>
          <w:insideV w:val="single" w:sz="4" w:color="DDE8CF"/>
        </w:tblBorders>
        <w:tblLayout w:type="fixed"/>
        <w:tblCellMar>
          <w:top w:w="40" w:type="dxa"/>
          <w:left w:w="100" w:type="dxa"/>
          <w:bottom w:w="40" w:type="dxa"/>
          <w:right w:w="100" w:type="dxa"/>
        </w:tblCellMar>
        <w:tblLook w:firstColumn="1" w:firstRow="1" w:lastColumn="0" w:lastRow="0" w:noHBand="0" w:noVBand="1" w:val="04A0"/>
      </w:tblPr>
      <w:tblGrid>
        <w:gridCol w:w="1134"/>
        <w:gridCol w:w="8505"/>
      </w:tblGrid>
      <w:tr>
        <w:tc>
          <w:tcPr>
            <w:tcW w:type="dxa" w:w="1134"/>
            <w:shd w:val="clear" w:color="auto" w:fill="F6F8F3"/>
            <w:vAlign w:val="center"/>
          </w:tcPr>
          <w:p>
            <w:pPr>
              <w:spacing w:after="0" w:line="288" w:lineRule="auto"/>
              <w:jc w:val="center"/>
            </w:pPr>
            <w:r/>
            <w:r>
              <w:rPr>
                <w:rFonts w:ascii="游ゴシック" w:hAnsi="游ゴシック" w:eastAsia="游ゴシック"/>
                <w:b/>
                <w:color w:val="2C5F2D"/>
                <w:sz w:val="19"/>
              </w:rPr>
              <w:t>志望</w:t>
            </w:r>
          </w:p>
        </w:tc>
        <w:tc>
          <w:tcPr>
            <w:tcW w:type="dxa" w:w="8504"/>
            <w:vAlign w:val="center"/>
          </w:tcPr>
          <w:p>
            <w:pPr>
              <w:spacing w:after="0" w:line="288" w:lineRule="auto"/>
            </w:pPr>
            <w:r/>
            <w:r>
              <w:rPr>
                <w:rFonts w:ascii="游ゴシック" w:hAnsi="游ゴシック" w:eastAsia="游ゴシック"/>
                <w:b w:val="0"/>
                <w:color w:val="23301F"/>
                <w:sz w:val="20"/>
              </w:rPr>
              <w:t>国士舘大学 21世紀アジア学部 総合型選抜（R7 AOⅡ期 過去問）</w:t>
            </w:r>
          </w:p>
        </w:tc>
      </w:tr>
      <w:tr>
        <w:tc>
          <w:tcPr>
            <w:tcW w:type="dxa" w:w="1134"/>
            <w:shd w:val="clear" w:color="auto" w:fill="F6F8F3"/>
            <w:vAlign w:val="center"/>
          </w:tcPr>
          <w:p>
            <w:pPr>
              <w:spacing w:after="0" w:line="288" w:lineRule="auto"/>
              <w:jc w:val="center"/>
            </w:pPr>
            <w:r/>
            <w:r>
              <w:rPr>
                <w:rFonts w:ascii="游ゴシック" w:hAnsi="游ゴシック" w:eastAsia="游ゴシック"/>
                <w:b/>
                <w:color w:val="2C5F2D"/>
                <w:sz w:val="19"/>
              </w:rPr>
              <w:t>題材</w:t>
            </w:r>
          </w:p>
        </w:tc>
        <w:tc>
          <w:tcPr>
            <w:tcW w:type="dxa" w:w="8504"/>
            <w:vAlign w:val="center"/>
          </w:tcPr>
          <w:p>
            <w:pPr>
              <w:spacing w:after="0" w:line="288" w:lineRule="auto"/>
            </w:pPr>
            <w:r/>
            <w:r>
              <w:rPr>
                <w:rFonts w:ascii="游ゴシック" w:hAnsi="游ゴシック" w:eastAsia="游ゴシック"/>
                <w:b w:val="0"/>
                <w:color w:val="23301F"/>
                <w:sz w:val="20"/>
              </w:rPr>
              <w:t>異なる文化や価値観に触れたときの姿勢</w:t>
            </w:r>
          </w:p>
        </w:tc>
      </w:tr>
      <w:tr>
        <w:tc>
          <w:tcPr>
            <w:tcW w:type="dxa" w:w="1134"/>
            <w:shd w:val="clear" w:color="auto" w:fill="F6F8F3"/>
            <w:vAlign w:val="center"/>
          </w:tcPr>
          <w:p>
            <w:pPr>
              <w:spacing w:after="0" w:line="288" w:lineRule="auto"/>
              <w:jc w:val="center"/>
            </w:pPr>
            <w:r/>
            <w:r>
              <w:rPr>
                <w:rFonts w:ascii="游ゴシック" w:hAnsi="游ゴシック" w:eastAsia="游ゴシック"/>
                <w:b/>
                <w:color w:val="2C5F2D"/>
                <w:sz w:val="19"/>
              </w:rPr>
              <w:t>設問</w:t>
            </w:r>
          </w:p>
        </w:tc>
        <w:tc>
          <w:tcPr>
            <w:tcW w:type="dxa" w:w="8504"/>
            <w:vAlign w:val="center"/>
          </w:tcPr>
          <w:p>
            <w:pPr>
              <w:spacing w:after="0" w:line="288" w:lineRule="auto"/>
            </w:pPr>
            <w:r/>
            <w:r>
              <w:rPr>
                <w:rFonts w:ascii="游ゴシック" w:hAnsi="游ゴシック" w:eastAsia="游ゴシック"/>
                <w:b w:val="0"/>
                <w:color w:val="23301F"/>
                <w:sz w:val="20"/>
              </w:rPr>
              <w:t>（推定）異なる文化や価値観に触れたとき、どのような姿勢が大切か。あなたの考えを述べなさい。</w:t>
            </w:r>
          </w:p>
        </w:tc>
      </w:tr>
      <w:tr>
        <w:tc>
          <w:tcPr>
            <w:tcW w:type="dxa" w:w="1134"/>
            <w:shd w:val="clear" w:color="auto" w:fill="F6F8F3"/>
            <w:vAlign w:val="center"/>
          </w:tcPr>
          <w:p>
            <w:pPr>
              <w:spacing w:after="0" w:line="288" w:lineRule="auto"/>
              <w:jc w:val="center"/>
            </w:pPr>
            <w:r/>
            <w:r>
              <w:rPr>
                <w:rFonts w:ascii="游ゴシック" w:hAnsi="游ゴシック" w:eastAsia="游ゴシック"/>
                <w:b/>
                <w:color w:val="2C5F2D"/>
                <w:sz w:val="19"/>
              </w:rPr>
              <w:t>字数</w:t>
            </w:r>
          </w:p>
        </w:tc>
        <w:tc>
          <w:tcPr>
            <w:tcW w:type="dxa" w:w="8504"/>
            <w:vAlign w:val="center"/>
          </w:tcPr>
          <w:p>
            <w:pPr>
              <w:spacing w:after="0" w:line="288" w:lineRule="auto"/>
            </w:pPr>
            <w:r/>
            <w:r>
              <w:rPr>
                <w:rFonts w:ascii="游ゴシック" w:hAnsi="游ゴシック" w:eastAsia="游ゴシック"/>
                <w:b w:val="0"/>
                <w:color w:val="23301F"/>
                <w:sz w:val="20"/>
              </w:rPr>
              <w:t>制限 600字以内　→　答案 598字（規定の範囲内）</w:t>
            </w:r>
          </w:p>
        </w:tc>
      </w:tr>
    </w:tbl>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評価</w:t>
      </w:r>
    </w:p>
    <w:p>
      <w:pPr>
        <w:spacing w:after="80" w:before="0" w:line="300" w:lineRule="auto"/>
      </w:pPr>
      <w:r>
        <w:rPr>
          <w:rFonts w:ascii="游ゴシック" w:hAnsi="游ゴシック" w:eastAsia="游ゴシック"/>
          <w:b/>
          <w:color w:val="17321A"/>
          <w:sz w:val="24"/>
        </w:rPr>
        <w:t xml:space="preserve">総合 </w:t>
      </w:r>
      <w:r>
        <w:rPr>
          <w:rFonts w:ascii="游ゴシック" w:hAnsi="游ゴシック" w:eastAsia="游ゴシック"/>
          <w:b/>
          <w:color w:val="D9782D"/>
          <w:sz w:val="56"/>
        </w:rPr>
        <w:t>83</w:t>
      </w:r>
      <w:r>
        <w:rPr>
          <w:rFonts w:ascii="游ゴシック" w:hAnsi="游ゴシック" w:eastAsia="游ゴシック"/>
          <w:b/>
          <w:color w:val="17321A"/>
          <w:sz w:val="24"/>
        </w:rPr>
        <w:t xml:space="preserve"> / 100点</w:t>
      </w:r>
    </w:p>
    <w:tbl>
      <w:tblPr>
        <w:tblW w:w="9639" w:type="dxa"/>
        <w:tblBorders>
          <w:top w:val="single" w:sz="4" w:color="DDE8CF"/>
          <w:left w:val="single" w:sz="4" w:color="DDE8CF"/>
          <w:bottom w:val="single" w:sz="4" w:color="DDE8CF"/>
          <w:right w:val="single" w:sz="4" w:color="DDE8CF"/>
          <w:insideH w:val="single" w:sz="4" w:color="DDE8CF"/>
          <w:insideV w:val="single" w:sz="4" w:color="DDE8CF"/>
        </w:tblBorders>
        <w:tblLayout w:type="fixed"/>
        <w:tblCellMar>
          <w:top w:w="40" w:type="dxa"/>
          <w:left w:w="100" w:type="dxa"/>
          <w:bottom w:w="40" w:type="dxa"/>
          <w:right w:w="100" w:type="dxa"/>
        </w:tblCellMar>
        <w:tblLook w:firstColumn="1" w:firstRow="1" w:lastColumn="0" w:lastRow="0" w:noHBand="0" w:noVBand="1" w:val="04A0"/>
      </w:tblPr>
      <w:tblGrid>
        <w:gridCol w:w="2154"/>
        <w:gridCol w:w="1134"/>
        <w:gridCol w:w="6350"/>
      </w:tblGrid>
      <w:tr>
        <w:tc>
          <w:tcPr>
            <w:tcW w:type="dxa" w:w="2154"/>
            <w:shd w:val="clear" w:color="auto" w:fill="2C5F2D"/>
            <w:vAlign w:val="center"/>
          </w:tcPr>
          <w:p>
            <w:pPr>
              <w:spacing w:after="0" w:line="288" w:lineRule="auto"/>
              <w:jc w:val="center"/>
            </w:pPr>
            <w:r/>
            <w:r>
              <w:rPr>
                <w:rFonts w:ascii="游ゴシック" w:hAnsi="游ゴシック" w:eastAsia="游ゴシック"/>
                <w:b/>
                <w:color w:val="FFFFFF"/>
                <w:sz w:val="19"/>
              </w:rPr>
              <w:t>観点</w:t>
            </w:r>
          </w:p>
        </w:tc>
        <w:tc>
          <w:tcPr>
            <w:tcW w:type="dxa" w:w="1134"/>
            <w:shd w:val="clear" w:color="auto" w:fill="2C5F2D"/>
            <w:vAlign w:val="center"/>
          </w:tcPr>
          <w:p>
            <w:pPr>
              <w:spacing w:after="0" w:line="288" w:lineRule="auto"/>
              <w:jc w:val="center"/>
            </w:pPr>
            <w:r/>
            <w:r>
              <w:rPr>
                <w:rFonts w:ascii="游ゴシック" w:hAnsi="游ゴシック" w:eastAsia="游ゴシック"/>
                <w:b/>
                <w:color w:val="FFFFFF"/>
                <w:sz w:val="19"/>
              </w:rPr>
              <w:t>得点</w:t>
            </w:r>
          </w:p>
        </w:tc>
        <w:tc>
          <w:tcPr>
            <w:tcW w:type="dxa" w:w="6350"/>
            <w:shd w:val="clear" w:color="auto" w:fill="2C5F2D"/>
            <w:vAlign w:val="center"/>
          </w:tcPr>
          <w:p>
            <w:pPr>
              <w:spacing w:after="0" w:line="288" w:lineRule="auto"/>
              <w:jc w:val="center"/>
            </w:pPr>
            <w:r/>
            <w:r>
              <w:rPr>
                <w:rFonts w:ascii="游ゴシック" w:hAnsi="游ゴシック" w:eastAsia="游ゴシック"/>
                <w:b/>
                <w:color w:val="FFFFFF"/>
                <w:sz w:val="19"/>
              </w:rPr>
              <w:t>コメント</w:t>
            </w:r>
          </w:p>
        </w:tc>
      </w:tr>
      <w:tr>
        <w:tc>
          <w:tcPr>
            <w:tcW w:type="dxa" w:w="2154"/>
            <w:vAlign w:val="center"/>
          </w:tcPr>
          <w:p>
            <w:pPr>
              <w:spacing w:after="0" w:line="288" w:lineRule="auto"/>
            </w:pPr>
            <w:r/>
            <w:r>
              <w:rPr>
                <w:rFonts w:ascii="游ゴシック" w:hAnsi="游ゴシック" w:eastAsia="游ゴシック"/>
                <w:b/>
                <w:color w:val="17321A"/>
                <w:sz w:val="19"/>
              </w:rPr>
              <w:t>設問への応答</w:t>
            </w:r>
          </w:p>
        </w:tc>
        <w:tc>
          <w:tcPr>
            <w:tcW w:type="dxa" w:w="1134"/>
            <w:vAlign w:val="center"/>
          </w:tcPr>
          <w:p>
            <w:pPr>
              <w:spacing w:after="0" w:line="288" w:lineRule="auto"/>
              <w:jc w:val="center"/>
            </w:pPr>
            <w:r/>
            <w:r>
              <w:rPr>
                <w:rFonts w:ascii="游ゴシック" w:hAnsi="游ゴシック" w:eastAsia="游ゴシック"/>
                <w:b/>
                <w:color w:val="D9782D"/>
                <w:sz w:val="22"/>
              </w:rPr>
              <w:t>18 / 20</w:t>
            </w:r>
          </w:p>
        </w:tc>
        <w:tc>
          <w:tcPr>
            <w:tcW w:type="dxa" w:w="6350"/>
            <w:vAlign w:val="center"/>
          </w:tcPr>
          <w:p>
            <w:pPr>
              <w:spacing w:after="0" w:line="288" w:lineRule="auto"/>
            </w:pPr>
            <w:r/>
            <w:r>
              <w:rPr>
                <w:rFonts w:ascii="游ゴシック" w:hAnsi="游ゴシック" w:eastAsia="游ゴシック"/>
                <w:b w:val="0"/>
                <w:color w:val="23301F"/>
                <w:sz w:val="19"/>
              </w:rPr>
              <w:t>「自分の当たり前を世界共通の常識だと思い込まない姿勢」と、問いへの答えを冒頭で明確に示せている。</w:t>
            </w:r>
          </w:p>
        </w:tc>
      </w:tr>
      <w:tr>
        <w:tc>
          <w:tcPr>
            <w:tcW w:type="dxa" w:w="2154"/>
            <w:vAlign w:val="center"/>
          </w:tcPr>
          <w:p>
            <w:pPr>
              <w:spacing w:after="0" w:line="288" w:lineRule="auto"/>
            </w:pPr>
            <w:r/>
            <w:r>
              <w:rPr>
                <w:rFonts w:ascii="游ゴシック" w:hAnsi="游ゴシック" w:eastAsia="游ゴシック"/>
                <w:b/>
                <w:color w:val="17321A"/>
                <w:sz w:val="19"/>
              </w:rPr>
              <w:t>構成・論理</w:t>
            </w:r>
          </w:p>
        </w:tc>
        <w:tc>
          <w:tcPr>
            <w:tcW w:type="dxa" w:w="1134"/>
            <w:vAlign w:val="center"/>
          </w:tcPr>
          <w:p>
            <w:pPr>
              <w:spacing w:after="0" w:line="288" w:lineRule="auto"/>
              <w:jc w:val="center"/>
            </w:pPr>
            <w:r/>
            <w:r>
              <w:rPr>
                <w:rFonts w:ascii="游ゴシック" w:hAnsi="游ゴシック" w:eastAsia="游ゴシック"/>
                <w:b/>
                <w:color w:val="D9782D"/>
                <w:sz w:val="22"/>
              </w:rPr>
              <w:t>18 / 20</w:t>
            </w:r>
          </w:p>
        </w:tc>
        <w:tc>
          <w:tcPr>
            <w:tcW w:type="dxa" w:w="6350"/>
            <w:vAlign w:val="center"/>
          </w:tcPr>
          <w:p>
            <w:pPr>
              <w:spacing w:after="0" w:line="288" w:lineRule="auto"/>
            </w:pPr>
            <w:r/>
            <w:r>
              <w:rPr>
                <w:rFonts w:ascii="游ゴシック" w:hAnsi="游ゴシック" w:eastAsia="游ゴシック"/>
                <w:b w:val="0"/>
                <w:color w:val="23301F"/>
                <w:sz w:val="19"/>
              </w:rPr>
              <w:t>主張→理由→例→自分の体験→譲歩→結論と、小論文のお手本のような構成。段落の役割もはっきりしている。</w:t>
            </w:r>
          </w:p>
        </w:tc>
      </w:tr>
      <w:tr>
        <w:tc>
          <w:tcPr>
            <w:tcW w:type="dxa" w:w="2154"/>
            <w:vAlign w:val="center"/>
          </w:tcPr>
          <w:p>
            <w:pPr>
              <w:spacing w:after="0" w:line="288" w:lineRule="auto"/>
            </w:pPr>
            <w:r/>
            <w:r>
              <w:rPr>
                <w:rFonts w:ascii="游ゴシック" w:hAnsi="游ゴシック" w:eastAsia="游ゴシック"/>
                <w:b/>
                <w:color w:val="17321A"/>
                <w:sz w:val="19"/>
              </w:rPr>
              <w:t>根拠・具体性</w:t>
            </w:r>
          </w:p>
        </w:tc>
        <w:tc>
          <w:tcPr>
            <w:tcW w:type="dxa" w:w="1134"/>
            <w:vAlign w:val="center"/>
          </w:tcPr>
          <w:p>
            <w:pPr>
              <w:spacing w:after="0" w:line="288" w:lineRule="auto"/>
              <w:jc w:val="center"/>
            </w:pPr>
            <w:r/>
            <w:r>
              <w:rPr>
                <w:rFonts w:ascii="游ゴシック" w:hAnsi="游ゴシック" w:eastAsia="游ゴシック"/>
                <w:b/>
                <w:color w:val="D9782D"/>
                <w:sz w:val="22"/>
              </w:rPr>
              <w:t>15 / 20</w:t>
            </w:r>
          </w:p>
        </w:tc>
        <w:tc>
          <w:tcPr>
            <w:tcW w:type="dxa" w:w="6350"/>
            <w:vAlign w:val="center"/>
          </w:tcPr>
          <w:p>
            <w:pPr>
              <w:spacing w:after="0" w:line="288" w:lineRule="auto"/>
            </w:pPr>
            <w:r/>
            <w:r>
              <w:rPr>
                <w:rFonts w:ascii="游ゴシック" w:hAnsi="游ゴシック" w:eastAsia="游ゴシック"/>
                <w:b w:val="0"/>
                <w:color w:val="23301F"/>
                <w:sz w:val="19"/>
              </w:rPr>
              <w:t>日本と他の文化の対比は分かりやすい。自分の体験が「〜ことがある」と一般的な書き方で、具体的な場面が見えない。</w:t>
            </w:r>
          </w:p>
        </w:tc>
      </w:tr>
      <w:tr>
        <w:tc>
          <w:tcPr>
            <w:tcW w:type="dxa" w:w="2154"/>
            <w:vAlign w:val="center"/>
          </w:tcPr>
          <w:p>
            <w:pPr>
              <w:spacing w:after="0" w:line="288" w:lineRule="auto"/>
            </w:pPr>
            <w:r/>
            <w:r>
              <w:rPr>
                <w:rFonts w:ascii="游ゴシック" w:hAnsi="游ゴシック" w:eastAsia="游ゴシック"/>
                <w:b/>
                <w:color w:val="17321A"/>
                <w:sz w:val="19"/>
              </w:rPr>
              <w:t>学部・アドミッションポリシーとの適合</w:t>
            </w:r>
          </w:p>
        </w:tc>
        <w:tc>
          <w:tcPr>
            <w:tcW w:type="dxa" w:w="1134"/>
            <w:vAlign w:val="center"/>
          </w:tcPr>
          <w:p>
            <w:pPr>
              <w:spacing w:after="0" w:line="288" w:lineRule="auto"/>
              <w:jc w:val="center"/>
            </w:pPr>
            <w:r/>
            <w:r>
              <w:rPr>
                <w:rFonts w:ascii="游ゴシック" w:hAnsi="游ゴシック" w:eastAsia="游ゴシック"/>
                <w:b/>
                <w:color w:val="D9782D"/>
                <w:sz w:val="22"/>
              </w:rPr>
              <w:t>16 / 20</w:t>
            </w:r>
          </w:p>
        </w:tc>
        <w:tc>
          <w:tcPr>
            <w:tcW w:type="dxa" w:w="6350"/>
            <w:vAlign w:val="center"/>
          </w:tcPr>
          <w:p>
            <w:pPr>
              <w:spacing w:after="0" w:line="288" w:lineRule="auto"/>
            </w:pPr>
            <w:r/>
            <w:r>
              <w:rPr>
                <w:rFonts w:ascii="游ゴシック" w:hAnsi="游ゴシック" w:eastAsia="游ゴシック"/>
                <w:b w:val="0"/>
                <w:color w:val="23301F"/>
                <w:sz w:val="19"/>
              </w:rPr>
              <w:t>国際交流・異文化理解というテーマは学部にぴったり。21世紀アジア学部で何を学びたいかの一文があればさらに良い。</w:t>
            </w:r>
          </w:p>
        </w:tc>
      </w:tr>
      <w:tr>
        <w:tc>
          <w:tcPr>
            <w:tcW w:type="dxa" w:w="2154"/>
            <w:vAlign w:val="center"/>
          </w:tcPr>
          <w:p>
            <w:pPr>
              <w:spacing w:after="0" w:line="288" w:lineRule="auto"/>
            </w:pPr>
            <w:r/>
            <w:r>
              <w:rPr>
                <w:rFonts w:ascii="游ゴシック" w:hAnsi="游ゴシック" w:eastAsia="游ゴシック"/>
                <w:b/>
                <w:color w:val="17321A"/>
                <w:sz w:val="19"/>
              </w:rPr>
              <w:t>表現・表記</w:t>
            </w:r>
          </w:p>
        </w:tc>
        <w:tc>
          <w:tcPr>
            <w:tcW w:type="dxa" w:w="1134"/>
            <w:vAlign w:val="center"/>
          </w:tcPr>
          <w:p>
            <w:pPr>
              <w:spacing w:after="0" w:line="288" w:lineRule="auto"/>
              <w:jc w:val="center"/>
            </w:pPr>
            <w:r/>
            <w:r>
              <w:rPr>
                <w:rFonts w:ascii="游ゴシック" w:hAnsi="游ゴシック" w:eastAsia="游ゴシック"/>
                <w:b/>
                <w:color w:val="D9782D"/>
                <w:sz w:val="22"/>
              </w:rPr>
              <w:t>16 / 20</w:t>
            </w:r>
          </w:p>
        </w:tc>
        <w:tc>
          <w:tcPr>
            <w:tcW w:type="dxa" w:w="6350"/>
            <w:vAlign w:val="center"/>
          </w:tcPr>
          <w:p>
            <w:pPr>
              <w:spacing w:after="0" w:line="288" w:lineRule="auto"/>
            </w:pPr>
            <w:r/>
            <w:r>
              <w:rPr>
                <w:rFonts w:ascii="游ゴシック" w:hAnsi="游ゴシック" w:eastAsia="游ゴシック"/>
                <w:b w:val="0"/>
                <w:color w:val="23301F"/>
                <w:sz w:val="19"/>
              </w:rPr>
              <w:t>598字で字数を使い切っている。「自分だけの基準だけで」の重複、「ではなくなぜ」の読点抜けがある。</w:t>
            </w:r>
          </w:p>
        </w:tc>
      </w:tr>
    </w:tbl>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総評</w:t>
      </w:r>
    </w:p>
    <w:p>
      <w:pPr>
        <w:spacing w:after="80" w:before="0" w:line="300" w:lineRule="auto"/>
      </w:pPr>
      <w:r>
        <w:rPr>
          <w:rFonts w:ascii="游ゴシック" w:hAnsi="游ゴシック" w:eastAsia="游ゴシック"/>
          <w:b w:val="0"/>
          <w:color w:val="23301F"/>
          <w:sz w:val="21"/>
        </w:rPr>
        <w:t>【前提】設問文は未確認のため答案から推定した。字数は原稿用紙の「600」の印から600字以内とした。主張・理由・具体例・体験・譲歩・結論がそろった、完成度の高い答案である。特に「相手を尊重することと、何でも許すことは同じではない」という譲歩は、考えの深さを示していて評価が高い。あとは、重複表現と読点の抜けを直し、自分の体験を具体的な場面で書き、結論で21世紀アジア学部での学びにつなげれば、さらに上を目指せる。</w:t>
      </w:r>
    </w:p>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良かったところ</w:t>
      </w:r>
    </w:p>
    <w:p>
      <w:pPr>
        <w:spacing w:after="40" w:before="0" w:line="300" w:lineRule="auto"/>
        <w:ind w:left="227" w:hanging="227"/>
      </w:pPr>
      <w:r>
        <w:rPr>
          <w:rFonts w:ascii="游ゴシック" w:hAnsi="游ゴシック" w:eastAsia="游ゴシック"/>
          <w:b/>
          <w:color w:val="2C5F2D"/>
          <w:sz w:val="21"/>
        </w:rPr>
        <w:t xml:space="preserve">✓ </w:t>
      </w:r>
      <w:r>
        <w:rPr>
          <w:rFonts w:ascii="游ゴシック" w:hAnsi="游ゴシック" w:eastAsia="游ゴシック"/>
          <w:b w:val="0"/>
          <w:color w:val="23301F"/>
          <w:sz w:val="21"/>
        </w:rPr>
        <w:t>冒頭で「思い込まない姿勢こそが大切」と主張を明確に示し、すぐに理由を述べている</w:t>
      </w:r>
    </w:p>
    <w:p>
      <w:pPr>
        <w:spacing w:after="40" w:before="0" w:line="300" w:lineRule="auto"/>
        <w:ind w:left="227" w:hanging="227"/>
      </w:pPr>
      <w:r>
        <w:rPr>
          <w:rFonts w:ascii="游ゴシック" w:hAnsi="游ゴシック" w:eastAsia="游ゴシック"/>
          <w:b/>
          <w:color w:val="2C5F2D"/>
          <w:sz w:val="21"/>
        </w:rPr>
        <w:t xml:space="preserve">✓ </w:t>
      </w:r>
      <w:r>
        <w:rPr>
          <w:rFonts w:ascii="游ゴシック" w:hAnsi="游ゴシック" w:eastAsia="游ゴシック"/>
          <w:b w:val="0"/>
          <w:color w:val="23301F"/>
          <w:sz w:val="21"/>
        </w:rPr>
        <w:t>日本の「遠慮」と他の文化の「明確に述べる」を対比し、誤解が生まれる仕組みを分かりやすく説明している</w:t>
      </w:r>
    </w:p>
    <w:p>
      <w:pPr>
        <w:spacing w:after="40" w:before="0" w:line="300" w:lineRule="auto"/>
        <w:ind w:left="227" w:hanging="227"/>
      </w:pPr>
      <w:r>
        <w:rPr>
          <w:rFonts w:ascii="游ゴシック" w:hAnsi="游ゴシック" w:eastAsia="游ゴシック"/>
          <w:b/>
          <w:color w:val="2C5F2D"/>
          <w:sz w:val="21"/>
        </w:rPr>
        <w:t xml:space="preserve">✓ </w:t>
      </w:r>
      <w:r>
        <w:rPr>
          <w:rFonts w:ascii="游ゴシック" w:hAnsi="游ゴシック" w:eastAsia="游ゴシック"/>
          <w:b w:val="0"/>
          <w:color w:val="23301F"/>
          <w:sz w:val="21"/>
        </w:rPr>
        <w:t>「相手を尊重することと、何でも許すことは同じではない」と譲歩を入れ、主張に深みを出している</w:t>
      </w:r>
    </w:p>
    <w:p>
      <w:pPr>
        <w:spacing w:after="40" w:before="0" w:line="300" w:lineRule="auto"/>
        <w:ind w:left="227" w:hanging="227"/>
      </w:pPr>
      <w:r>
        <w:rPr>
          <w:rFonts w:ascii="游ゴシック" w:hAnsi="游ゴシック" w:eastAsia="游ゴシック"/>
          <w:b/>
          <w:color w:val="2C5F2D"/>
          <w:sz w:val="21"/>
        </w:rPr>
        <w:t xml:space="preserve">✓ </w:t>
      </w:r>
      <w:r>
        <w:rPr>
          <w:rFonts w:ascii="游ゴシック" w:hAnsi="游ゴシック" w:eastAsia="游ゴシック"/>
          <w:b w:val="0"/>
          <w:color w:val="23301F"/>
          <w:sz w:val="21"/>
        </w:rPr>
        <w:t>598字と字数を十分に使い、結論で国際交流が身近な現代につなげている</w:t>
      </w:r>
    </w:p>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直すと伸びるところ</w:t>
      </w:r>
    </w:p>
    <w:p>
      <w:pPr>
        <w:spacing w:after="20" w:before="60" w:line="300" w:lineRule="auto"/>
      </w:pPr>
      <w:r>
        <w:rPr>
          <w:rFonts w:ascii="游ゴシック" w:hAnsi="游ゴシック" w:eastAsia="游ゴシック"/>
          <w:b/>
          <w:color w:val="17321A"/>
          <w:sz w:val="21"/>
        </w:rPr>
        <w:t>1. 自分の体験を具体的な場面で書く</w:t>
      </w:r>
    </w:p>
    <w:p>
      <w:pPr>
        <w:spacing w:after="20" w:before="0" w:line="300" w:lineRule="auto"/>
        <w:ind w:left="283"/>
      </w:pPr>
      <w:r>
        <w:rPr>
          <w:rFonts w:ascii="游ゴシック" w:hAnsi="游ゴシック" w:eastAsia="游ゴシック"/>
          <w:b/>
          <w:color w:val="5B6B54"/>
          <w:sz w:val="19"/>
        </w:rPr>
        <w:t>答案：</w:t>
      </w:r>
      <w:r>
        <w:rPr>
          <w:rFonts w:ascii="游明朝" w:hAnsi="游明朝" w:eastAsia="游明朝"/>
          <w:b w:val="0"/>
          <w:color w:val="5B6B54"/>
          <w:sz w:val="19"/>
        </w:rPr>
        <w:t>「私も、相手の反応が予想と違うと、失礼だと感じたり、話が通じないと思ったりすることがある。」</w:t>
      </w:r>
    </w:p>
    <w:p>
      <w:pPr>
        <w:spacing w:after="40" w:before="0" w:line="300" w:lineRule="auto"/>
        <w:ind w:left="283"/>
      </w:pPr>
      <w:r>
        <w:rPr>
          <w:rFonts w:ascii="游ゴシック" w:hAnsi="游ゴシック" w:eastAsia="游ゴシック"/>
          <w:b/>
          <w:color w:val="D9782D"/>
          <w:sz w:val="21"/>
        </w:rPr>
        <w:t xml:space="preserve">→ </w:t>
      </w:r>
      <w:r>
        <w:rPr>
          <w:rFonts w:ascii="游ゴシック" w:hAnsi="游ゴシック" w:eastAsia="游ゴシック"/>
          <w:b w:val="0"/>
          <w:color w:val="23301F"/>
          <w:sz w:val="21"/>
        </w:rPr>
        <w:t>「ことがある」では一般論に近い。留学生や外国の人と話した場面、部活動や地域での交流など、実際の出来事を一つ書けると根拠が一段強くなる（本当にあった体験だけを書くこと）。</w:t>
      </w:r>
    </w:p>
    <w:p>
      <w:pPr>
        <w:spacing w:after="20" w:before="60" w:line="300" w:lineRule="auto"/>
      </w:pPr>
      <w:r>
        <w:rPr>
          <w:rFonts w:ascii="游ゴシック" w:hAnsi="游ゴシック" w:eastAsia="游ゴシック"/>
          <w:b/>
          <w:color w:val="17321A"/>
          <w:sz w:val="21"/>
        </w:rPr>
        <w:t>2. 重複表現を直す</w:t>
      </w:r>
    </w:p>
    <w:p>
      <w:pPr>
        <w:spacing w:after="20" w:before="0" w:line="300" w:lineRule="auto"/>
        <w:ind w:left="283"/>
      </w:pPr>
      <w:r>
        <w:rPr>
          <w:rFonts w:ascii="游ゴシック" w:hAnsi="游ゴシック" w:eastAsia="游ゴシック"/>
          <w:b/>
          <w:color w:val="5B6B54"/>
          <w:sz w:val="19"/>
        </w:rPr>
        <w:t>答案：</w:t>
      </w:r>
      <w:r>
        <w:rPr>
          <w:rFonts w:ascii="游明朝" w:hAnsi="游明朝" w:eastAsia="游明朝"/>
          <w:b w:val="0"/>
          <w:color w:val="5B6B54"/>
          <w:sz w:val="19"/>
        </w:rPr>
        <w:t>「自分だけの基準だけで相手を判断すれば」</w:t>
      </w:r>
    </w:p>
    <w:p>
      <w:pPr>
        <w:spacing w:after="40" w:before="0" w:line="300" w:lineRule="auto"/>
        <w:ind w:left="283"/>
      </w:pPr>
      <w:r>
        <w:rPr>
          <w:rFonts w:ascii="游ゴシック" w:hAnsi="游ゴシック" w:eastAsia="游ゴシック"/>
          <w:b/>
          <w:color w:val="D9782D"/>
          <w:sz w:val="21"/>
        </w:rPr>
        <w:t xml:space="preserve">→ </w:t>
      </w:r>
      <w:r>
        <w:rPr>
          <w:rFonts w:ascii="游ゴシック" w:hAnsi="游ゴシック" w:eastAsia="游ゴシック"/>
          <w:b w:val="0"/>
          <w:color w:val="23301F"/>
          <w:sz w:val="21"/>
        </w:rPr>
        <w:t>「だけ」が二回続いている。「自分の基準だけで」とする。</w:t>
      </w:r>
    </w:p>
    <w:p>
      <w:pPr>
        <w:spacing w:after="20" w:before="60" w:line="300" w:lineRule="auto"/>
      </w:pPr>
      <w:r>
        <w:rPr>
          <w:rFonts w:ascii="游ゴシック" w:hAnsi="游ゴシック" w:eastAsia="游ゴシック"/>
          <w:b/>
          <w:color w:val="17321A"/>
          <w:sz w:val="21"/>
        </w:rPr>
        <w:t>3. 文化の対比は「傾向」として書く</w:t>
      </w:r>
    </w:p>
    <w:p>
      <w:pPr>
        <w:spacing w:after="20" w:before="0" w:line="300" w:lineRule="auto"/>
        <w:ind w:left="283"/>
      </w:pPr>
      <w:r>
        <w:rPr>
          <w:rFonts w:ascii="游ゴシック" w:hAnsi="游ゴシック" w:eastAsia="游ゴシック"/>
          <w:b/>
          <w:color w:val="5B6B54"/>
          <w:sz w:val="19"/>
        </w:rPr>
        <w:t>答案：</w:t>
      </w:r>
      <w:r>
        <w:rPr>
          <w:rFonts w:ascii="游明朝" w:hAnsi="游明朝" w:eastAsia="游明朝"/>
          <w:b w:val="0"/>
          <w:color w:val="5B6B54"/>
          <w:sz w:val="19"/>
        </w:rPr>
        <w:t>「日本では相手に迷惑をかけないよう、遠慮して希望をはっきり伝えられないことがある。」</w:t>
      </w:r>
    </w:p>
    <w:p>
      <w:pPr>
        <w:spacing w:after="40" w:before="0" w:line="300" w:lineRule="auto"/>
        <w:ind w:left="283"/>
      </w:pPr>
      <w:r>
        <w:rPr>
          <w:rFonts w:ascii="游ゴシック" w:hAnsi="游ゴシック" w:eastAsia="游ゴシック"/>
          <w:b/>
          <w:color w:val="D9782D"/>
          <w:sz w:val="21"/>
        </w:rPr>
        <w:t xml:space="preserve">→ </w:t>
      </w:r>
      <w:r>
        <w:rPr>
          <w:rFonts w:ascii="游ゴシック" w:hAnsi="游ゴシック" w:eastAsia="游ゴシック"/>
          <w:b w:val="0"/>
          <w:color w:val="23301F"/>
          <w:sz w:val="21"/>
        </w:rPr>
        <w:t>国や文化をひとまとめにすると、決めつけに見えることがある。「〜傾向がある」「〜文化もある」と書くと、主張（思い込まない姿勢）と矛盾しない。</w:t>
      </w:r>
    </w:p>
    <w:p>
      <w:pPr>
        <w:spacing w:after="20" w:before="60" w:line="300" w:lineRule="auto"/>
      </w:pPr>
      <w:r>
        <w:rPr>
          <w:rFonts w:ascii="游ゴシック" w:hAnsi="游ゴシック" w:eastAsia="游ゴシック"/>
          <w:b/>
          <w:color w:val="17321A"/>
          <w:sz w:val="21"/>
        </w:rPr>
        <w:t>4. 結論で学部での学びにつなげる</w:t>
      </w:r>
    </w:p>
    <w:p>
      <w:pPr>
        <w:spacing w:after="20" w:before="0" w:line="300" w:lineRule="auto"/>
        <w:ind w:left="283"/>
      </w:pPr>
      <w:r>
        <w:rPr>
          <w:rFonts w:ascii="游ゴシック" w:hAnsi="游ゴシック" w:eastAsia="游ゴシック"/>
          <w:b/>
          <w:color w:val="5B6B54"/>
          <w:sz w:val="19"/>
        </w:rPr>
        <w:t>答案：</w:t>
      </w:r>
      <w:r>
        <w:rPr>
          <w:rFonts w:ascii="游明朝" w:hAnsi="游明朝" w:eastAsia="游明朝"/>
          <w:b w:val="0"/>
          <w:color w:val="5B6B54"/>
          <w:sz w:val="19"/>
        </w:rPr>
        <w:t>「国際交流が身近な現代、私は自分の常識をいったん脇に置き」</w:t>
      </w:r>
    </w:p>
    <w:p>
      <w:pPr>
        <w:spacing w:after="40" w:before="0" w:line="300" w:lineRule="auto"/>
        <w:ind w:left="283"/>
      </w:pPr>
      <w:r>
        <w:rPr>
          <w:rFonts w:ascii="游ゴシック" w:hAnsi="游ゴシック" w:eastAsia="游ゴシック"/>
          <w:b/>
          <w:color w:val="D9782D"/>
          <w:sz w:val="21"/>
        </w:rPr>
        <w:t xml:space="preserve">→ </w:t>
      </w:r>
      <w:r>
        <w:rPr>
          <w:rFonts w:ascii="游ゴシック" w:hAnsi="游ゴシック" w:eastAsia="游ゴシック"/>
          <w:b w:val="0"/>
          <w:color w:val="23301F"/>
          <w:sz w:val="21"/>
        </w:rPr>
        <w:t>「21世紀アジア学部で多様な文化を学び」と一言入れるだけで、学部を志望する理由が伝わる。</w:t>
      </w:r>
    </w:p>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あなたの答案（598字）</w:t>
      </w:r>
    </w:p>
    <w:tbl>
      <w:tblPr>
        <w:tblW w:w="9639" w:type="dxa"/>
        <w:jc w:val="center"/>
        <w:tblBorders>
          <w:top w:val="single" w:sz="4" w:color="DDE8CF"/>
          <w:left w:val="single" w:sz="4" w:color="DDE8CF"/>
          <w:bottom w:val="single" w:sz="4" w:color="DDE8CF"/>
          <w:right w:val="single" w:sz="4" w:color="DDE8CF"/>
          <w:insideH w:val="single" w:sz="4" w:color="DDE8CF"/>
          <w:insideV w:val="single" w:sz="4" w:color="DDE8CF"/>
        </w:tblBorders>
        <w:tblLayout w:type="fixed"/>
        <w:tblCellMar>
          <w:top w:w="40" w:type="dxa"/>
          <w:left w:w="100" w:type="dxa"/>
          <w:bottom w:w="40" w:type="dxa"/>
          <w:right w:w="100" w:type="dxa"/>
        </w:tblCellMar>
        <w:tblLook w:firstColumn="1" w:firstRow="1" w:lastColumn="0" w:lastRow="0" w:noHBand="0" w:noVBand="1" w:val="04A0"/>
      </w:tblPr>
      <w:tblGrid>
        <w:gridCol w:w="1360"/>
        <w:gridCol w:w="8278"/>
      </w:tblGrid>
      <w:tr>
        <w:tc>
          <w:tcPr>
            <w:tcW w:type="dxa" w:w="1361"/>
            <w:shd w:val="clear" w:color="auto" w:fill="F6F8F3"/>
            <w:vAlign w:val="center"/>
          </w:tcPr>
          <w:p>
            <w:pPr>
              <w:spacing w:after="0" w:line="288" w:lineRule="auto"/>
              <w:jc w:val="center"/>
            </w:pPr>
            <w:r/>
            <w:r>
              <w:rPr>
                <w:rFonts w:ascii="游ゴシック" w:hAnsi="游ゴシック" w:eastAsia="游ゴシック"/>
                <w:b/>
                <w:color w:val="2C5F2D"/>
                <w:sz w:val="19"/>
              </w:rPr>
              <w:t>序論</w:t>
            </w:r>
          </w:p>
          <w:p>
            <w:pPr>
              <w:spacing w:after="0" w:line="288" w:lineRule="auto"/>
            </w:pPr>
            <w:r>
              <w:rPr>
                <w:rFonts w:ascii="游ゴシック" w:hAnsi="游ゴシック" w:eastAsia="游ゴシック"/>
                <w:b/>
                <w:color w:val="2C5F2D"/>
                <w:sz w:val="19"/>
              </w:rPr>
              <w:t>98字</w:t>
            </w:r>
          </w:p>
        </w:tc>
        <w:tc>
          <w:tcPr>
            <w:tcW w:type="dxa" w:w="8277"/>
            <w:vAlign w:val="center"/>
          </w:tcPr>
          <w:p>
            <w:pPr>
              <w:spacing w:after="0" w:line="288" w:lineRule="auto"/>
            </w:pPr>
            <w:r/>
            <w:r>
              <w:rPr>
                <w:rFonts w:ascii="游明朝" w:hAnsi="游明朝" w:eastAsia="游明朝"/>
                <w:b w:val="0"/>
                <w:color w:val="23301F"/>
                <w:sz w:val="21"/>
              </w:rPr>
              <w:t>私は、異なる文化や価値観に触れたとき、自分の当たり前を世界共通の常識だと思い込まない姿勢こそが大切だと考える。自分だけの基準だけで相手を判断すれば、意図を誤解し、理解する機会を失ってしまうからだ。</w:t>
            </w:r>
          </w:p>
        </w:tc>
      </w:tr>
      <w:tr>
        <w:tc>
          <w:tcPr>
            <w:tcW w:type="dxa" w:w="1361"/>
            <w:shd w:val="clear" w:color="auto" w:fill="F6F8F3"/>
            <w:vAlign w:val="center"/>
          </w:tcPr>
          <w:p>
            <w:pPr>
              <w:spacing w:after="0" w:line="288" w:lineRule="auto"/>
              <w:jc w:val="center"/>
            </w:pPr>
            <w:r/>
            <w:r>
              <w:rPr>
                <w:rFonts w:ascii="游ゴシック" w:hAnsi="游ゴシック" w:eastAsia="游ゴシック"/>
                <w:b/>
                <w:color w:val="2C5F2D"/>
                <w:sz w:val="19"/>
              </w:rPr>
              <w:t>本論①</w:t>
            </w:r>
          </w:p>
          <w:p>
            <w:pPr>
              <w:spacing w:after="0" w:line="288" w:lineRule="auto"/>
            </w:pPr>
            <w:r>
              <w:rPr>
                <w:rFonts w:ascii="游ゴシック" w:hAnsi="游ゴシック" w:eastAsia="游ゴシック"/>
                <w:b/>
                <w:color w:val="2C5F2D"/>
                <w:sz w:val="19"/>
              </w:rPr>
              <w:t>205字</w:t>
            </w:r>
          </w:p>
        </w:tc>
        <w:tc>
          <w:tcPr>
            <w:tcW w:type="dxa" w:w="8277"/>
            <w:vAlign w:val="center"/>
          </w:tcPr>
          <w:p>
            <w:pPr>
              <w:spacing w:after="0" w:line="288" w:lineRule="auto"/>
            </w:pPr>
            <w:r/>
            <w:r>
              <w:rPr>
                <w:rFonts w:ascii="游明朝" w:hAnsi="游明朝" w:eastAsia="游明朝"/>
                <w:b w:val="0"/>
                <w:color w:val="23301F"/>
                <w:sz w:val="21"/>
              </w:rPr>
              <w:t>例えば、日本では相手に迷惑をかけないよう、遠慮して希望をはっきり伝えられないことがある。一方、別の文化では、自分の意見を明確に述べることが誠実さの表れだと受け取られる場合もある。日本側がそれを「自己中心的だ」と決めつけたり、相手側が日本人を「何を考えているか分からない」と評価したりすれば、対立が生まれる。大切なのは、どちらかを正しいと決めることではなくなぜその行動をするのかを尋ね、背景を知ろうとすることだ。</w:t>
            </w:r>
          </w:p>
        </w:tc>
      </w:tr>
      <w:tr>
        <w:tc>
          <w:tcPr>
            <w:tcW w:type="dxa" w:w="1361"/>
            <w:shd w:val="clear" w:color="auto" w:fill="F6F8F3"/>
            <w:vAlign w:val="center"/>
          </w:tcPr>
          <w:p>
            <w:pPr>
              <w:spacing w:after="0" w:line="288" w:lineRule="auto"/>
              <w:jc w:val="center"/>
            </w:pPr>
            <w:r/>
            <w:r>
              <w:rPr>
                <w:rFonts w:ascii="游ゴシック" w:hAnsi="游ゴシック" w:eastAsia="游ゴシック"/>
                <w:b/>
                <w:color w:val="2C5F2D"/>
                <w:sz w:val="19"/>
              </w:rPr>
              <w:t>本論②</w:t>
            </w:r>
          </w:p>
          <w:p>
            <w:pPr>
              <w:spacing w:after="0" w:line="288" w:lineRule="auto"/>
            </w:pPr>
            <w:r>
              <w:rPr>
                <w:rFonts w:ascii="游ゴシック" w:hAnsi="游ゴシック" w:eastAsia="游ゴシック"/>
                <w:b/>
                <w:color w:val="2C5F2D"/>
                <w:sz w:val="19"/>
              </w:rPr>
              <w:t>116字</w:t>
            </w:r>
          </w:p>
        </w:tc>
        <w:tc>
          <w:tcPr>
            <w:tcW w:type="dxa" w:w="8277"/>
            <w:vAlign w:val="center"/>
          </w:tcPr>
          <w:p>
            <w:pPr>
              <w:spacing w:after="0" w:line="288" w:lineRule="auto"/>
            </w:pPr>
            <w:r/>
            <w:r>
              <w:rPr>
                <w:rFonts w:ascii="游明朝" w:hAnsi="游明朝" w:eastAsia="游明朝"/>
                <w:b w:val="0"/>
                <w:color w:val="23301F"/>
                <w:sz w:val="21"/>
              </w:rPr>
              <w:t>私も、相手の反応が予想と違うと、失礼だと感じたり、話が通じないと思ったりすることがある。しかし、決めつけずに理由を聞けば、考え方や表現の違いだと分かるかもしれない。違いは相手を遠ざける理由ではなく、自分の視野を広げるきっかけになる。</w:t>
            </w:r>
          </w:p>
        </w:tc>
      </w:tr>
      <w:tr>
        <w:tc>
          <w:tcPr>
            <w:tcW w:type="dxa" w:w="1361"/>
            <w:shd w:val="clear" w:color="auto" w:fill="F6F8F3"/>
            <w:vAlign w:val="center"/>
          </w:tcPr>
          <w:p>
            <w:pPr>
              <w:spacing w:after="0" w:line="288" w:lineRule="auto"/>
              <w:jc w:val="center"/>
            </w:pPr>
            <w:r/>
            <w:r>
              <w:rPr>
                <w:rFonts w:ascii="游ゴシック" w:hAnsi="游ゴシック" w:eastAsia="游ゴシック"/>
                <w:b/>
                <w:color w:val="2C5F2D"/>
                <w:sz w:val="19"/>
              </w:rPr>
              <w:t>本論③</w:t>
            </w:r>
          </w:p>
          <w:p>
            <w:pPr>
              <w:spacing w:after="0" w:line="288" w:lineRule="auto"/>
            </w:pPr>
            <w:r>
              <w:rPr>
                <w:rFonts w:ascii="游ゴシック" w:hAnsi="游ゴシック" w:eastAsia="游ゴシック"/>
                <w:b/>
                <w:color w:val="2C5F2D"/>
                <w:sz w:val="19"/>
              </w:rPr>
              <w:t>99字</w:t>
            </w:r>
          </w:p>
        </w:tc>
        <w:tc>
          <w:tcPr>
            <w:tcW w:type="dxa" w:w="8277"/>
            <w:vAlign w:val="center"/>
          </w:tcPr>
          <w:p>
            <w:pPr>
              <w:spacing w:after="0" w:line="288" w:lineRule="auto"/>
            </w:pPr>
            <w:r/>
            <w:r>
              <w:rPr>
                <w:rFonts w:ascii="游明朝" w:hAnsi="游明朝" w:eastAsia="游明朝"/>
                <w:b w:val="0"/>
                <w:color w:val="23301F"/>
                <w:sz w:val="21"/>
              </w:rPr>
              <w:t>もちろん、文化の違いを理由に相手の言動をすべて受け入れる必要はない。人を傷つける行為や守るべきルールについては、互いに説明し、話し合う必要がある。相手を尊重することと、何でも許すことは同じではない。</w:t>
            </w:r>
          </w:p>
        </w:tc>
      </w:tr>
      <w:tr>
        <w:tc>
          <w:tcPr>
            <w:tcW w:type="dxa" w:w="1361"/>
            <w:shd w:val="clear" w:color="auto" w:fill="F6F8F3"/>
            <w:vAlign w:val="center"/>
          </w:tcPr>
          <w:p>
            <w:pPr>
              <w:spacing w:after="0" w:line="288" w:lineRule="auto"/>
              <w:jc w:val="center"/>
            </w:pPr>
            <w:r/>
            <w:r>
              <w:rPr>
                <w:rFonts w:ascii="游ゴシック" w:hAnsi="游ゴシック" w:eastAsia="游ゴシック"/>
                <w:b/>
                <w:color w:val="2C5F2D"/>
                <w:sz w:val="19"/>
              </w:rPr>
              <w:t>結論</w:t>
            </w:r>
          </w:p>
          <w:p>
            <w:pPr>
              <w:spacing w:after="0" w:line="288" w:lineRule="auto"/>
            </w:pPr>
            <w:r>
              <w:rPr>
                <w:rFonts w:ascii="游ゴシック" w:hAnsi="游ゴシック" w:eastAsia="游ゴシック"/>
                <w:b/>
                <w:color w:val="2C5F2D"/>
                <w:sz w:val="19"/>
              </w:rPr>
              <w:t>80字</w:t>
            </w:r>
          </w:p>
        </w:tc>
        <w:tc>
          <w:tcPr>
            <w:tcW w:type="dxa" w:w="8277"/>
            <w:vAlign w:val="center"/>
          </w:tcPr>
          <w:p>
            <w:pPr>
              <w:spacing w:after="0" w:line="288" w:lineRule="auto"/>
            </w:pPr>
            <w:r/>
            <w:r>
              <w:rPr>
                <w:rFonts w:ascii="游明朝" w:hAnsi="游明朝" w:eastAsia="游明朝"/>
                <w:b w:val="0"/>
                <w:color w:val="23301F"/>
                <w:sz w:val="21"/>
              </w:rPr>
              <w:t>国際交流が身近な現代、私は自分の常識をいったん脇に置き、相手の立場から考えるという習慣を身につけたい。違いを知り、対話を重ねることが、信頼を築く第一歩だと思う。</w:t>
            </w:r>
          </w:p>
        </w:tc>
      </w:tr>
    </w:tbl>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表記・表現の直し</w:t>
      </w:r>
    </w:p>
    <w:tbl>
      <w:tblPr>
        <w:tblW w:w="9639" w:type="dxa"/>
        <w:tblBorders>
          <w:top w:val="single" w:sz="4" w:color="DDE8CF"/>
          <w:left w:val="single" w:sz="4" w:color="DDE8CF"/>
          <w:bottom w:val="single" w:sz="4" w:color="DDE8CF"/>
          <w:right w:val="single" w:sz="4" w:color="DDE8CF"/>
          <w:insideH w:val="single" w:sz="4" w:color="DDE8CF"/>
          <w:insideV w:val="single" w:sz="4" w:color="DDE8CF"/>
        </w:tblBorders>
        <w:tblLayout w:type="fixed"/>
        <w:tblCellMar>
          <w:top w:w="40" w:type="dxa"/>
          <w:left w:w="100" w:type="dxa"/>
          <w:bottom w:w="40" w:type="dxa"/>
          <w:right w:w="100" w:type="dxa"/>
        </w:tblCellMar>
        <w:tblLook w:firstColumn="1" w:firstRow="1" w:lastColumn="0" w:lastRow="0" w:noHBand="0" w:noVBand="1" w:val="04A0"/>
      </w:tblPr>
      <w:tblGrid>
        <w:gridCol w:w="3402"/>
        <w:gridCol w:w="3402"/>
        <w:gridCol w:w="2835"/>
      </w:tblGrid>
      <w:tr>
        <w:tc>
          <w:tcPr>
            <w:tcW w:type="dxa" w:w="3402"/>
            <w:shd w:val="clear" w:color="auto" w:fill="2C5F2D"/>
            <w:vAlign w:val="center"/>
          </w:tcPr>
          <w:p>
            <w:pPr>
              <w:spacing w:after="0" w:line="288" w:lineRule="auto"/>
              <w:jc w:val="center"/>
            </w:pPr>
            <w:r/>
            <w:r>
              <w:rPr>
                <w:rFonts w:ascii="游ゴシック" w:hAnsi="游ゴシック" w:eastAsia="游ゴシック"/>
                <w:b/>
                <w:color w:val="FFFFFF"/>
                <w:sz w:val="19"/>
              </w:rPr>
              <w:t>答案</w:t>
            </w:r>
          </w:p>
        </w:tc>
        <w:tc>
          <w:tcPr>
            <w:tcW w:type="dxa" w:w="3402"/>
            <w:shd w:val="clear" w:color="auto" w:fill="2C5F2D"/>
            <w:vAlign w:val="center"/>
          </w:tcPr>
          <w:p>
            <w:pPr>
              <w:spacing w:after="0" w:line="288" w:lineRule="auto"/>
              <w:jc w:val="center"/>
            </w:pPr>
            <w:r/>
            <w:r>
              <w:rPr>
                <w:rFonts w:ascii="游ゴシック" w:hAnsi="游ゴシック" w:eastAsia="游ゴシック"/>
                <w:b/>
                <w:color w:val="FFFFFF"/>
                <w:sz w:val="19"/>
              </w:rPr>
              <w:t>直し</w:t>
            </w:r>
          </w:p>
        </w:tc>
        <w:tc>
          <w:tcPr>
            <w:tcW w:type="dxa" w:w="2835"/>
            <w:shd w:val="clear" w:color="auto" w:fill="2C5F2D"/>
            <w:vAlign w:val="center"/>
          </w:tcPr>
          <w:p>
            <w:pPr>
              <w:spacing w:after="0" w:line="288" w:lineRule="auto"/>
              <w:jc w:val="center"/>
            </w:pPr>
            <w:r/>
            <w:r>
              <w:rPr>
                <w:rFonts w:ascii="游ゴシック" w:hAnsi="游ゴシック" w:eastAsia="游ゴシック"/>
                <w:b/>
                <w:color w:val="FFFFFF"/>
                <w:sz w:val="19"/>
              </w:rPr>
              <w:t>理由</w:t>
            </w:r>
          </w:p>
        </w:tc>
      </w:tr>
      <w:tr>
        <w:tc>
          <w:tcPr>
            <w:tcW w:type="dxa" w:w="3402"/>
            <w:vAlign w:val="center"/>
          </w:tcPr>
          <w:p>
            <w:pPr>
              <w:spacing w:after="0" w:line="288" w:lineRule="auto"/>
            </w:pPr>
            <w:r/>
            <w:r>
              <w:rPr>
                <w:rFonts w:ascii="游明朝" w:hAnsi="游明朝" w:eastAsia="游明朝"/>
                <w:b w:val="0"/>
                <w:color w:val="23301F"/>
                <w:sz w:val="19"/>
              </w:rPr>
              <w:t>自分だけの基準だけで</w:t>
            </w:r>
          </w:p>
        </w:tc>
        <w:tc>
          <w:tcPr>
            <w:tcW w:type="dxa" w:w="3402"/>
            <w:vAlign w:val="center"/>
          </w:tcPr>
          <w:p>
            <w:pPr>
              <w:spacing w:after="0" w:line="288" w:lineRule="auto"/>
            </w:pPr>
            <w:r/>
            <w:r>
              <w:rPr>
                <w:rFonts w:ascii="游明朝" w:hAnsi="游明朝" w:eastAsia="游明朝"/>
                <w:b/>
                <w:color w:val="2C5F2D"/>
                <w:sz w:val="19"/>
              </w:rPr>
              <w:t>自分の基準だけで</w:t>
            </w:r>
          </w:p>
        </w:tc>
        <w:tc>
          <w:tcPr>
            <w:tcW w:type="dxa" w:w="2835"/>
            <w:vAlign w:val="center"/>
          </w:tcPr>
          <w:p>
            <w:pPr>
              <w:spacing w:after="0" w:line="288" w:lineRule="auto"/>
            </w:pPr>
            <w:r/>
            <w:r>
              <w:rPr>
                <w:rFonts w:ascii="游ゴシック" w:hAnsi="游ゴシック" w:eastAsia="游ゴシック"/>
                <w:b w:val="0"/>
                <w:color w:val="23301F"/>
                <w:sz w:val="18"/>
              </w:rPr>
              <w:t>「だけ」の重複</w:t>
            </w:r>
          </w:p>
        </w:tc>
      </w:tr>
      <w:tr>
        <w:tc>
          <w:tcPr>
            <w:tcW w:type="dxa" w:w="3402"/>
            <w:vAlign w:val="center"/>
          </w:tcPr>
          <w:p>
            <w:pPr>
              <w:spacing w:after="0" w:line="288" w:lineRule="auto"/>
            </w:pPr>
            <w:r/>
            <w:r>
              <w:rPr>
                <w:rFonts w:ascii="游明朝" w:hAnsi="游明朝" w:eastAsia="游明朝"/>
                <w:b w:val="0"/>
                <w:color w:val="23301F"/>
                <w:sz w:val="19"/>
              </w:rPr>
              <w:t>決めることではなくなぜその行動をするのかを尋ね</w:t>
            </w:r>
          </w:p>
        </w:tc>
        <w:tc>
          <w:tcPr>
            <w:tcW w:type="dxa" w:w="3402"/>
            <w:vAlign w:val="center"/>
          </w:tcPr>
          <w:p>
            <w:pPr>
              <w:spacing w:after="0" w:line="288" w:lineRule="auto"/>
            </w:pPr>
            <w:r/>
            <w:r>
              <w:rPr>
                <w:rFonts w:ascii="游明朝" w:hAnsi="游明朝" w:eastAsia="游明朝"/>
                <w:b/>
                <w:color w:val="2C5F2D"/>
                <w:sz w:val="19"/>
              </w:rPr>
              <w:t>決めることではなく、なぜその行動をするのかを尋ね</w:t>
            </w:r>
          </w:p>
        </w:tc>
        <w:tc>
          <w:tcPr>
            <w:tcW w:type="dxa" w:w="2835"/>
            <w:vAlign w:val="center"/>
          </w:tcPr>
          <w:p>
            <w:pPr>
              <w:spacing w:after="0" w:line="288" w:lineRule="auto"/>
            </w:pPr>
            <w:r/>
            <w:r>
              <w:rPr>
                <w:rFonts w:ascii="游ゴシック" w:hAnsi="游ゴシック" w:eastAsia="游ゴシック"/>
                <w:b w:val="0"/>
                <w:color w:val="23301F"/>
                <w:sz w:val="18"/>
              </w:rPr>
              <w:t>読点の抜け</w:t>
            </w:r>
          </w:p>
        </w:tc>
      </w:tr>
      <w:tr>
        <w:tc>
          <w:tcPr>
            <w:tcW w:type="dxa" w:w="3402"/>
            <w:vAlign w:val="center"/>
          </w:tcPr>
          <w:p>
            <w:pPr>
              <w:spacing w:after="0" w:line="288" w:lineRule="auto"/>
            </w:pPr>
            <w:r/>
            <w:r>
              <w:rPr>
                <w:rFonts w:ascii="游明朝" w:hAnsi="游明朝" w:eastAsia="游明朝"/>
                <w:b w:val="0"/>
                <w:color w:val="23301F"/>
                <w:sz w:val="19"/>
              </w:rPr>
              <w:t>遠慮して希望をはっきり伝えられないことがある。</w:t>
            </w:r>
          </w:p>
        </w:tc>
        <w:tc>
          <w:tcPr>
            <w:tcW w:type="dxa" w:w="3402"/>
            <w:vAlign w:val="center"/>
          </w:tcPr>
          <w:p>
            <w:pPr>
              <w:spacing w:after="0" w:line="288" w:lineRule="auto"/>
            </w:pPr>
            <w:r/>
            <w:r>
              <w:rPr>
                <w:rFonts w:ascii="游明朝" w:hAnsi="游明朝" w:eastAsia="游明朝"/>
                <w:b/>
                <w:color w:val="2C5F2D"/>
                <w:sz w:val="19"/>
              </w:rPr>
              <w:t>遠慮して希望をはっきり伝えない傾向がある。</w:t>
            </w:r>
          </w:p>
        </w:tc>
        <w:tc>
          <w:tcPr>
            <w:tcW w:type="dxa" w:w="2835"/>
            <w:vAlign w:val="center"/>
          </w:tcPr>
          <w:p>
            <w:pPr>
              <w:spacing w:after="0" w:line="288" w:lineRule="auto"/>
            </w:pPr>
            <w:r/>
            <w:r>
              <w:rPr>
                <w:rFonts w:ascii="游ゴシック" w:hAnsi="游ゴシック" w:eastAsia="游ゴシック"/>
                <w:b w:val="0"/>
                <w:color w:val="23301F"/>
                <w:sz w:val="18"/>
              </w:rPr>
              <w:t>文化の説明は「傾向」として書く</w:t>
            </w:r>
          </w:p>
        </w:tc>
      </w:tr>
      <w:tr>
        <w:tc>
          <w:tcPr>
            <w:tcW w:type="dxa" w:w="3402"/>
            <w:vAlign w:val="center"/>
          </w:tcPr>
          <w:p>
            <w:pPr>
              <w:spacing w:after="0" w:line="288" w:lineRule="auto"/>
            </w:pPr>
            <w:r/>
            <w:r>
              <w:rPr>
                <w:rFonts w:ascii="游明朝" w:hAnsi="游明朝" w:eastAsia="游明朝"/>
                <w:b w:val="0"/>
                <w:color w:val="23301F"/>
                <w:sz w:val="19"/>
              </w:rPr>
              <w:t>一方、別の文化では、自分の意見を明確に述べることが誠実さの表れだと受け取られる場合もある。</w:t>
            </w:r>
          </w:p>
        </w:tc>
        <w:tc>
          <w:tcPr>
            <w:tcW w:type="dxa" w:w="3402"/>
            <w:vAlign w:val="center"/>
          </w:tcPr>
          <w:p>
            <w:pPr>
              <w:spacing w:after="0" w:line="288" w:lineRule="auto"/>
            </w:pPr>
            <w:r/>
            <w:r>
              <w:rPr>
                <w:rFonts w:ascii="游明朝" w:hAnsi="游明朝" w:eastAsia="游明朝"/>
                <w:b/>
                <w:color w:val="2C5F2D"/>
                <w:sz w:val="19"/>
              </w:rPr>
              <w:t>一方、自分の意見を明確に述べることが誠実さの表れだと受け取られる文化もある。</w:t>
            </w:r>
          </w:p>
        </w:tc>
        <w:tc>
          <w:tcPr>
            <w:tcW w:type="dxa" w:w="2835"/>
            <w:vAlign w:val="center"/>
          </w:tcPr>
          <w:p>
            <w:pPr>
              <w:spacing w:after="0" w:line="288" w:lineRule="auto"/>
            </w:pPr>
            <w:r/>
            <w:r>
              <w:rPr>
                <w:rFonts w:ascii="游ゴシック" w:hAnsi="游ゴシック" w:eastAsia="游ゴシック"/>
                <w:b w:val="0"/>
                <w:color w:val="23301F"/>
                <w:sz w:val="18"/>
              </w:rPr>
              <w:t>「別の文化では〜場合もある」を簡潔に</w:t>
            </w:r>
          </w:p>
        </w:tc>
      </w:tr>
      <w:tr>
        <w:tc>
          <w:tcPr>
            <w:tcW w:type="dxa" w:w="3402"/>
            <w:vAlign w:val="center"/>
          </w:tcPr>
          <w:p>
            <w:pPr>
              <w:spacing w:after="0" w:line="288" w:lineRule="auto"/>
            </w:pPr>
            <w:r/>
            <w:r>
              <w:rPr>
                <w:rFonts w:ascii="游明朝" w:hAnsi="游明朝" w:eastAsia="游明朝"/>
                <w:b w:val="0"/>
                <w:color w:val="23301F"/>
                <w:sz w:val="19"/>
              </w:rPr>
              <w:t>信頼を築く第一歩だと思う。</w:t>
            </w:r>
          </w:p>
        </w:tc>
        <w:tc>
          <w:tcPr>
            <w:tcW w:type="dxa" w:w="3402"/>
            <w:vAlign w:val="center"/>
          </w:tcPr>
          <w:p>
            <w:pPr>
              <w:spacing w:after="0" w:line="288" w:lineRule="auto"/>
            </w:pPr>
            <w:r/>
            <w:r>
              <w:rPr>
                <w:rFonts w:ascii="游明朝" w:hAnsi="游明朝" w:eastAsia="游明朝"/>
                <w:b/>
                <w:color w:val="2C5F2D"/>
                <w:sz w:val="19"/>
              </w:rPr>
              <w:t>信頼を築く第一歩だと考える。</w:t>
            </w:r>
          </w:p>
        </w:tc>
        <w:tc>
          <w:tcPr>
            <w:tcW w:type="dxa" w:w="2835"/>
            <w:vAlign w:val="center"/>
          </w:tcPr>
          <w:p>
            <w:pPr>
              <w:spacing w:after="0" w:line="288" w:lineRule="auto"/>
            </w:pPr>
            <w:r/>
            <w:r>
              <w:rPr>
                <w:rFonts w:ascii="游ゴシック" w:hAnsi="游ゴシック" w:eastAsia="游ゴシック"/>
                <w:b w:val="0"/>
                <w:color w:val="23301F"/>
                <w:sz w:val="18"/>
              </w:rPr>
              <w:t>結論は「考える」で言い切ると力強い</w:t>
            </w:r>
          </w:p>
        </w:tc>
      </w:tr>
    </w:tbl>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構成の見直し（Q3 段落メモ）</w:t>
      </w:r>
    </w:p>
    <w:p>
      <w:pPr>
        <w:spacing w:after="80" w:before="0" w:line="300" w:lineRule="auto"/>
      </w:pPr>
      <w:r>
        <w:rPr>
          <w:rFonts w:ascii="游ゴシック" w:hAnsi="游ゴシック" w:eastAsia="游ゴシック"/>
          <w:b w:val="0"/>
          <w:color w:val="5B6B54"/>
          <w:sz w:val="19"/>
        </w:rPr>
        <w:t>左があなたの答案の骨組み、右がおすすめの骨組み。書く前にこのメモを作れば、構成は安定する。</w:t>
      </w:r>
    </w:p>
    <w:tbl>
      <w:tblPr>
        <w:tblW w:w="9639" w:type="dxa"/>
        <w:tblBorders>
          <w:top w:val="single" w:sz="4" w:color="DDE8CF"/>
          <w:left w:val="single" w:sz="4" w:color="DDE8CF"/>
          <w:bottom w:val="single" w:sz="4" w:color="DDE8CF"/>
          <w:right w:val="single" w:sz="4" w:color="DDE8CF"/>
          <w:insideH w:val="single" w:sz="4" w:color="DDE8CF"/>
          <w:insideV w:val="single" w:sz="4" w:color="DDE8CF"/>
        </w:tblBorders>
        <w:tblLayout w:type="fixed"/>
        <w:tblCellMar>
          <w:top w:w="40" w:type="dxa"/>
          <w:left w:w="100" w:type="dxa"/>
          <w:bottom w:w="40" w:type="dxa"/>
          <w:right w:w="100" w:type="dxa"/>
        </w:tblCellMar>
        <w:tblLook w:firstColumn="1" w:firstRow="1" w:lastColumn="0" w:lastRow="0" w:noHBand="0" w:noVBand="1" w:val="04A0"/>
      </w:tblPr>
      <w:tblGrid>
        <w:gridCol w:w="4819"/>
        <w:gridCol w:w="4819"/>
      </w:tblGrid>
      <w:tr>
        <w:tc>
          <w:tcPr>
            <w:tcW w:type="dxa" w:w="4819"/>
            <w:shd w:val="clear" w:color="auto" w:fill="2C5F2D"/>
            <w:vAlign w:val="center"/>
          </w:tcPr>
          <w:p>
            <w:pPr>
              <w:spacing w:after="0" w:line="288" w:lineRule="auto"/>
              <w:jc w:val="center"/>
            </w:pPr>
            <w:r/>
            <w:r>
              <w:rPr>
                <w:rFonts w:ascii="游ゴシック" w:hAnsi="游ゴシック" w:eastAsia="游ゴシック"/>
                <w:b/>
                <w:color w:val="FFFFFF"/>
                <w:sz w:val="19"/>
              </w:rPr>
              <w:t>あなたの答案</w:t>
            </w:r>
          </w:p>
        </w:tc>
        <w:tc>
          <w:tcPr>
            <w:tcW w:type="dxa" w:w="4819"/>
            <w:shd w:val="clear" w:color="auto" w:fill="D9782D"/>
            <w:vAlign w:val="center"/>
          </w:tcPr>
          <w:p>
            <w:pPr>
              <w:spacing w:after="0" w:line="288" w:lineRule="auto"/>
              <w:jc w:val="center"/>
            </w:pPr>
            <w:r/>
            <w:r>
              <w:rPr>
                <w:rFonts w:ascii="游ゴシック" w:hAnsi="游ゴシック" w:eastAsia="游ゴシック"/>
                <w:b/>
                <w:color w:val="FFFFFF"/>
                <w:sz w:val="19"/>
              </w:rPr>
              <w:t>おすすめの構成メモ</w:t>
            </w:r>
          </w:p>
        </w:tc>
      </w:tr>
      <w:tr>
        <w:tc>
          <w:tcPr>
            <w:tcW w:type="dxa" w:w="4819"/>
            <w:vAlign w:val="center"/>
          </w:tcPr>
          <w:p>
            <w:pPr>
              <w:spacing w:after="0" w:line="288" w:lineRule="auto"/>
            </w:pPr>
            <w:r/>
            <w:r>
              <w:rPr>
                <w:rFonts w:ascii="游ゴシック" w:hAnsi="游ゴシック" w:eastAsia="游ゴシック"/>
                <w:b w:val="0"/>
                <w:color w:val="23301F"/>
                <w:sz w:val="19"/>
              </w:rPr>
              <w:t>【序論】主張：自分の当たり前を常識と思い込まない姿勢／理由：誤解し理解の機会を失う</w:t>
            </w:r>
          </w:p>
        </w:tc>
        <w:tc>
          <w:tcPr>
            <w:tcW w:type="dxa" w:w="4819"/>
            <w:shd w:val="clear" w:color="auto" w:fill="FCEFE3"/>
            <w:vAlign w:val="center"/>
          </w:tcPr>
          <w:p>
            <w:pPr>
              <w:spacing w:after="0" w:line="288" w:lineRule="auto"/>
            </w:pPr>
            <w:r/>
            <w:r>
              <w:rPr>
                <w:rFonts w:ascii="游ゴシック" w:hAnsi="游ゴシック" w:eastAsia="游ゴシック"/>
                <w:b w:val="0"/>
                <w:color w:val="23301F"/>
                <w:sz w:val="19"/>
              </w:rPr>
              <w:t>【序論】（そのままでよい）主張＋理由</w:t>
            </w:r>
          </w:p>
        </w:tc>
      </w:tr>
      <w:tr>
        <w:tc>
          <w:tcPr>
            <w:tcW w:type="dxa" w:w="4819"/>
            <w:vAlign w:val="center"/>
          </w:tcPr>
          <w:p>
            <w:pPr>
              <w:spacing w:after="0" w:line="288" w:lineRule="auto"/>
            </w:pPr>
            <w:r/>
            <w:r>
              <w:rPr>
                <w:rFonts w:ascii="游ゴシック" w:hAnsi="游ゴシック" w:eastAsia="游ゴシック"/>
                <w:b w:val="0"/>
                <w:color w:val="23301F"/>
                <w:sz w:val="19"/>
              </w:rPr>
              <w:t>【本論①】例：日本の遠慮と他文化の明確さ → 決めつけると対立 → 背景を尋ねることが大切</w:t>
            </w:r>
          </w:p>
        </w:tc>
        <w:tc>
          <w:tcPr>
            <w:tcW w:type="dxa" w:w="4819"/>
            <w:shd w:val="clear" w:color="auto" w:fill="FCEFE3"/>
            <w:vAlign w:val="center"/>
          </w:tcPr>
          <w:p>
            <w:pPr>
              <w:spacing w:after="0" w:line="288" w:lineRule="auto"/>
            </w:pPr>
            <w:r/>
            <w:r>
              <w:rPr>
                <w:rFonts w:ascii="游ゴシック" w:hAnsi="游ゴシック" w:eastAsia="游ゴシック"/>
                <w:b w:val="0"/>
                <w:color w:val="23301F"/>
                <w:sz w:val="19"/>
              </w:rPr>
              <w:t>【本論①】例：日本の遠慮と他文化の明確さ（「傾向」として）→ 背景を尋ねる</w:t>
            </w:r>
          </w:p>
        </w:tc>
      </w:tr>
      <w:tr>
        <w:tc>
          <w:tcPr>
            <w:tcW w:type="dxa" w:w="4819"/>
            <w:vAlign w:val="center"/>
          </w:tcPr>
          <w:p>
            <w:pPr>
              <w:spacing w:after="0" w:line="288" w:lineRule="auto"/>
            </w:pPr>
            <w:r/>
            <w:r>
              <w:rPr>
                <w:rFonts w:ascii="游ゴシック" w:hAnsi="游ゴシック" w:eastAsia="游ゴシック"/>
                <w:b w:val="0"/>
                <w:color w:val="23301F"/>
                <w:sz w:val="19"/>
              </w:rPr>
              <w:t>【本論②】体験：反応が予想と違うと失礼と感じる → 理由を聞けば違いと分かる → 視野が広がる</w:t>
            </w:r>
          </w:p>
        </w:tc>
        <w:tc>
          <w:tcPr>
            <w:tcW w:type="dxa" w:w="4819"/>
            <w:shd w:val="clear" w:color="auto" w:fill="FCEFE3"/>
            <w:vAlign w:val="center"/>
          </w:tcPr>
          <w:p>
            <w:pPr>
              <w:spacing w:after="0" w:line="288" w:lineRule="auto"/>
            </w:pPr>
            <w:r/>
            <w:r>
              <w:rPr>
                <w:rFonts w:ascii="游ゴシック" w:hAnsi="游ゴシック" w:eastAsia="游ゴシック"/>
                <w:b w:val="0"/>
                <w:color w:val="23301F"/>
                <w:sz w:val="19"/>
              </w:rPr>
              <w:t>【本論②】体験：実際の場面を一つ（留学生・交流など）→ 理由を聞いて違いと分かった</w:t>
            </w:r>
          </w:p>
        </w:tc>
      </w:tr>
      <w:tr>
        <w:tc>
          <w:tcPr>
            <w:tcW w:type="dxa" w:w="4819"/>
            <w:vAlign w:val="center"/>
          </w:tcPr>
          <w:p>
            <w:pPr>
              <w:spacing w:after="0" w:line="288" w:lineRule="auto"/>
            </w:pPr>
            <w:r/>
            <w:r>
              <w:rPr>
                <w:rFonts w:ascii="游ゴシック" w:hAnsi="游ゴシック" w:eastAsia="游ゴシック"/>
                <w:b w:val="0"/>
                <w:color w:val="23301F"/>
                <w:sz w:val="19"/>
              </w:rPr>
              <w:t>【本論③】譲歩：何でも受け入れる必要はない → 尊重と何でも許すことは違う</w:t>
            </w:r>
          </w:p>
        </w:tc>
        <w:tc>
          <w:tcPr>
            <w:tcW w:type="dxa" w:w="4819"/>
            <w:shd w:val="clear" w:color="auto" w:fill="FCEFE3"/>
            <w:vAlign w:val="center"/>
          </w:tcPr>
          <w:p>
            <w:pPr>
              <w:spacing w:after="0" w:line="288" w:lineRule="auto"/>
            </w:pPr>
            <w:r/>
            <w:r>
              <w:rPr>
                <w:rFonts w:ascii="游ゴシック" w:hAnsi="游ゴシック" w:eastAsia="游ゴシック"/>
                <w:b w:val="0"/>
                <w:color w:val="23301F"/>
                <w:sz w:val="19"/>
              </w:rPr>
              <w:t>【本論③】（そのままでよい）譲歩：尊重≠何でも許す</w:t>
            </w:r>
          </w:p>
        </w:tc>
      </w:tr>
      <w:tr>
        <w:tc>
          <w:tcPr>
            <w:tcW w:type="dxa" w:w="4819"/>
            <w:vAlign w:val="center"/>
          </w:tcPr>
          <w:p>
            <w:pPr>
              <w:spacing w:after="0" w:line="288" w:lineRule="auto"/>
            </w:pPr>
            <w:r/>
            <w:r>
              <w:rPr>
                <w:rFonts w:ascii="游ゴシック" w:hAnsi="游ゴシック" w:eastAsia="游ゴシック"/>
                <w:b w:val="0"/>
                <w:color w:val="23301F"/>
                <w:sz w:val="19"/>
              </w:rPr>
              <w:t>【結論】国際交流の時代 → 常識を脇に置き相手の立場で考える習慣 → 対話が信頼の第一歩</w:t>
            </w:r>
          </w:p>
        </w:tc>
        <w:tc>
          <w:tcPr>
            <w:tcW w:type="dxa" w:w="4819"/>
            <w:shd w:val="clear" w:color="auto" w:fill="FCEFE3"/>
            <w:vAlign w:val="center"/>
          </w:tcPr>
          <w:p>
            <w:pPr>
              <w:spacing w:after="0" w:line="288" w:lineRule="auto"/>
            </w:pPr>
            <w:r/>
            <w:r>
              <w:rPr>
                <w:rFonts w:ascii="游ゴシック" w:hAnsi="游ゴシック" w:eastAsia="游ゴシック"/>
                <w:b w:val="0"/>
                <w:color w:val="23301F"/>
                <w:sz w:val="19"/>
              </w:rPr>
              <w:t>【結論】学部で多様な文化を学び、相手の立場で考える習慣を → 対話が信頼の第一歩</w:t>
            </w:r>
          </w:p>
        </w:tc>
      </w:tr>
    </w:tbl>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書き直し例（584字）</w:t>
      </w:r>
    </w:p>
    <w:p>
      <w:pPr>
        <w:spacing w:after="80" w:before="0" w:line="300" w:lineRule="auto"/>
      </w:pPr>
      <w:r>
        <w:rPr>
          <w:rFonts w:ascii="游ゴシック" w:hAnsi="游ゴシック" w:eastAsia="游ゴシック"/>
          <w:b w:val="0"/>
          <w:color w:val="5B6B54"/>
          <w:sz w:val="19"/>
        </w:rPr>
        <w:t>あなたの考えを生かしたまま直した一例。丸写しせず、どこが変わったかを比べて読むこと。</w:t>
      </w:r>
    </w:p>
    <w:tbl>
      <w:tblPr>
        <w:tblW w:w="9639" w:type="dxa"/>
        <w:jc w:val="center"/>
        <w:tblBorders>
          <w:top w:val="single" w:sz="4" w:color="DDE8CF"/>
          <w:left w:val="single" w:sz="4" w:color="DDE8CF"/>
          <w:bottom w:val="single" w:sz="4" w:color="DDE8CF"/>
          <w:right w:val="single" w:sz="4" w:color="DDE8CF"/>
          <w:insideH w:val="single" w:sz="4" w:color="DDE8CF"/>
          <w:insideV w:val="single" w:sz="4" w:color="DDE8CF"/>
        </w:tblBorders>
        <w:tblLayout w:type="fixed"/>
        <w:tblCellMar>
          <w:top w:w="40" w:type="dxa"/>
          <w:left w:w="100" w:type="dxa"/>
          <w:bottom w:w="40" w:type="dxa"/>
          <w:right w:w="100" w:type="dxa"/>
        </w:tblCellMar>
        <w:tblLook w:firstColumn="1" w:firstRow="1" w:lastColumn="0" w:lastRow="0" w:noHBand="0" w:noVBand="1" w:val="04A0"/>
      </w:tblPr>
      <w:tblGrid>
        <w:gridCol w:w="1360"/>
        <w:gridCol w:w="8278"/>
      </w:tblGrid>
      <w:tr>
        <w:tc>
          <w:tcPr>
            <w:tcW w:type="dxa" w:w="1361"/>
            <w:shd w:val="clear" w:color="auto" w:fill="FCEFE3"/>
            <w:vAlign w:val="center"/>
          </w:tcPr>
          <w:p>
            <w:pPr>
              <w:spacing w:after="0" w:line="288" w:lineRule="auto"/>
              <w:jc w:val="center"/>
            </w:pPr>
            <w:r/>
            <w:r>
              <w:rPr>
                <w:rFonts w:ascii="游ゴシック" w:hAnsi="游ゴシック" w:eastAsia="游ゴシック"/>
                <w:b/>
                <w:color w:val="2C5F2D"/>
                <w:sz w:val="19"/>
              </w:rPr>
              <w:t>序論</w:t>
            </w:r>
          </w:p>
          <w:p>
            <w:pPr>
              <w:spacing w:after="0" w:line="288" w:lineRule="auto"/>
            </w:pPr>
            <w:r>
              <w:rPr>
                <w:rFonts w:ascii="游ゴシック" w:hAnsi="游ゴシック" w:eastAsia="游ゴシック"/>
                <w:b/>
                <w:color w:val="2C5F2D"/>
                <w:sz w:val="19"/>
              </w:rPr>
              <w:t>96字</w:t>
            </w:r>
          </w:p>
        </w:tc>
        <w:tc>
          <w:tcPr>
            <w:tcW w:type="dxa" w:w="8277"/>
            <w:vAlign w:val="center"/>
          </w:tcPr>
          <w:p>
            <w:pPr>
              <w:spacing w:after="0" w:line="288" w:lineRule="auto"/>
            </w:pPr>
            <w:r/>
            <w:r>
              <w:rPr>
                <w:rFonts w:ascii="游明朝" w:hAnsi="游明朝" w:eastAsia="游明朝"/>
                <w:b w:val="0"/>
                <w:color w:val="23301F"/>
                <w:sz w:val="21"/>
              </w:rPr>
              <w:t>私は、異なる文化や価値観に触れたとき、自分の当たり前を世界共通の常識だと思い込まない姿勢こそが大切だと考える。自分の基準だけで相手を判断すれば、意図を誤解し、理解する機会を失ってしまうからだ。</w:t>
            </w:r>
          </w:p>
        </w:tc>
      </w:tr>
      <w:tr>
        <w:tc>
          <w:tcPr>
            <w:tcW w:type="dxa" w:w="1361"/>
            <w:shd w:val="clear" w:color="auto" w:fill="FCEFE3"/>
            <w:vAlign w:val="center"/>
          </w:tcPr>
          <w:p>
            <w:pPr>
              <w:spacing w:after="0" w:line="288" w:lineRule="auto"/>
              <w:jc w:val="center"/>
            </w:pPr>
            <w:r/>
            <w:r>
              <w:rPr>
                <w:rFonts w:ascii="游ゴシック" w:hAnsi="游ゴシック" w:eastAsia="游ゴシック"/>
                <w:b/>
                <w:color w:val="2C5F2D"/>
                <w:sz w:val="19"/>
              </w:rPr>
              <w:t>本論①</w:t>
            </w:r>
          </w:p>
          <w:p>
            <w:pPr>
              <w:spacing w:after="0" w:line="288" w:lineRule="auto"/>
            </w:pPr>
            <w:r>
              <w:rPr>
                <w:rFonts w:ascii="游ゴシック" w:hAnsi="游ゴシック" w:eastAsia="游ゴシック"/>
                <w:b/>
                <w:color w:val="2C5F2D"/>
                <w:sz w:val="19"/>
              </w:rPr>
              <w:t>197字</w:t>
            </w:r>
          </w:p>
        </w:tc>
        <w:tc>
          <w:tcPr>
            <w:tcW w:type="dxa" w:w="8277"/>
            <w:vAlign w:val="center"/>
          </w:tcPr>
          <w:p>
            <w:pPr>
              <w:spacing w:after="0" w:line="288" w:lineRule="auto"/>
            </w:pPr>
            <w:r/>
            <w:r>
              <w:rPr>
                <w:rFonts w:ascii="游明朝" w:hAnsi="游明朝" w:eastAsia="游明朝"/>
                <w:b w:val="0"/>
                <w:color w:val="23301F"/>
                <w:sz w:val="21"/>
              </w:rPr>
              <w:t>例えば、日本では相手に迷惑をかけないよう、遠慮して希望をはっきり伝えない傾向がある。一方、自分の意見を明確に述べることが誠実さの表れだと受け取られる文化もある。日本側がそれを「自己中心的だ」と決めつけたり、相手側が日本人を「何を考えているか分からない」と評価したりすれば、対立が生まれる。大切なのは、どちらかを正しいと決めることではなく、なぜその行動をするのかを尋ね、背景を知ろうとすることだ。</w:t>
            </w:r>
          </w:p>
        </w:tc>
      </w:tr>
      <w:tr>
        <w:tc>
          <w:tcPr>
            <w:tcW w:type="dxa" w:w="1361"/>
            <w:shd w:val="clear" w:color="auto" w:fill="FCEFE3"/>
            <w:vAlign w:val="center"/>
          </w:tcPr>
          <w:p>
            <w:pPr>
              <w:spacing w:after="0" w:line="288" w:lineRule="auto"/>
              <w:jc w:val="center"/>
            </w:pPr>
            <w:r/>
            <w:r>
              <w:rPr>
                <w:rFonts w:ascii="游ゴシック" w:hAnsi="游ゴシック" w:eastAsia="游ゴシック"/>
                <w:b/>
                <w:color w:val="2C5F2D"/>
                <w:sz w:val="19"/>
              </w:rPr>
              <w:t>本論②</w:t>
            </w:r>
          </w:p>
          <w:p>
            <w:pPr>
              <w:spacing w:after="0" w:line="288" w:lineRule="auto"/>
            </w:pPr>
            <w:r>
              <w:rPr>
                <w:rFonts w:ascii="游ゴシック" w:hAnsi="游ゴシック" w:eastAsia="游ゴシック"/>
                <w:b/>
                <w:color w:val="2C5F2D"/>
                <w:sz w:val="19"/>
              </w:rPr>
              <w:t>101字</w:t>
            </w:r>
          </w:p>
        </w:tc>
        <w:tc>
          <w:tcPr>
            <w:tcW w:type="dxa" w:w="8277"/>
            <w:vAlign w:val="center"/>
          </w:tcPr>
          <w:p>
            <w:pPr>
              <w:spacing w:after="0" w:line="288" w:lineRule="auto"/>
            </w:pPr>
            <w:r/>
            <w:r>
              <w:rPr>
                <w:rFonts w:ascii="游明朝" w:hAnsi="游明朝" w:eastAsia="游明朝"/>
                <w:b w:val="0"/>
                <w:color w:val="23301F"/>
                <w:sz w:val="21"/>
              </w:rPr>
              <w:t>私も、相手の反応が予想と違うと、失礼だと感じることがある。しかし、決めつけずに理由を聞けば、考え方や表現の違いだと分かるかもしれない。違いは相手を遠ざける理由ではなく、自分の視野を広げるきっかけになる。</w:t>
            </w:r>
          </w:p>
        </w:tc>
      </w:tr>
      <w:tr>
        <w:tc>
          <w:tcPr>
            <w:tcW w:type="dxa" w:w="1361"/>
            <w:shd w:val="clear" w:color="auto" w:fill="FCEFE3"/>
            <w:vAlign w:val="center"/>
          </w:tcPr>
          <w:p>
            <w:pPr>
              <w:spacing w:after="0" w:line="288" w:lineRule="auto"/>
              <w:jc w:val="center"/>
            </w:pPr>
            <w:r/>
            <w:r>
              <w:rPr>
                <w:rFonts w:ascii="游ゴシック" w:hAnsi="游ゴシック" w:eastAsia="游ゴシック"/>
                <w:b/>
                <w:color w:val="2C5F2D"/>
                <w:sz w:val="19"/>
              </w:rPr>
              <w:t>本論③</w:t>
            </w:r>
          </w:p>
          <w:p>
            <w:pPr>
              <w:spacing w:after="0" w:line="288" w:lineRule="auto"/>
            </w:pPr>
            <w:r>
              <w:rPr>
                <w:rFonts w:ascii="游ゴシック" w:hAnsi="游ゴシック" w:eastAsia="游ゴシック"/>
                <w:b/>
                <w:color w:val="2C5F2D"/>
                <w:sz w:val="19"/>
              </w:rPr>
              <w:t>99字</w:t>
            </w:r>
          </w:p>
        </w:tc>
        <w:tc>
          <w:tcPr>
            <w:tcW w:type="dxa" w:w="8277"/>
            <w:vAlign w:val="center"/>
          </w:tcPr>
          <w:p>
            <w:pPr>
              <w:spacing w:after="0" w:line="288" w:lineRule="auto"/>
            </w:pPr>
            <w:r/>
            <w:r>
              <w:rPr>
                <w:rFonts w:ascii="游明朝" w:hAnsi="游明朝" w:eastAsia="游明朝"/>
                <w:b w:val="0"/>
                <w:color w:val="23301F"/>
                <w:sz w:val="21"/>
              </w:rPr>
              <w:t>もちろん、文化の違いを理由に相手の言動をすべて受け入れる必要はない。人を傷つける行為や守るべきルールについては、互いに説明し、話し合う必要がある。相手を尊重することと、何でも許すことは同じではない。</w:t>
            </w:r>
          </w:p>
        </w:tc>
      </w:tr>
      <w:tr>
        <w:tc>
          <w:tcPr>
            <w:tcW w:type="dxa" w:w="1361"/>
            <w:shd w:val="clear" w:color="auto" w:fill="FCEFE3"/>
            <w:vAlign w:val="center"/>
          </w:tcPr>
          <w:p>
            <w:pPr>
              <w:spacing w:after="0" w:line="288" w:lineRule="auto"/>
              <w:jc w:val="center"/>
            </w:pPr>
            <w:r/>
            <w:r>
              <w:rPr>
                <w:rFonts w:ascii="游ゴシック" w:hAnsi="游ゴシック" w:eastAsia="游ゴシック"/>
                <w:b/>
                <w:color w:val="2C5F2D"/>
                <w:sz w:val="19"/>
              </w:rPr>
              <w:t>結論</w:t>
            </w:r>
          </w:p>
          <w:p>
            <w:pPr>
              <w:spacing w:after="0" w:line="288" w:lineRule="auto"/>
            </w:pPr>
            <w:r>
              <w:rPr>
                <w:rFonts w:ascii="游ゴシック" w:hAnsi="游ゴシック" w:eastAsia="游ゴシック"/>
                <w:b/>
                <w:color w:val="2C5F2D"/>
                <w:sz w:val="19"/>
              </w:rPr>
              <w:t>91字</w:t>
            </w:r>
          </w:p>
        </w:tc>
        <w:tc>
          <w:tcPr>
            <w:tcW w:type="dxa" w:w="8277"/>
            <w:vAlign w:val="center"/>
          </w:tcPr>
          <w:p>
            <w:pPr>
              <w:spacing w:after="0" w:line="288" w:lineRule="auto"/>
            </w:pPr>
            <w:r/>
            <w:r>
              <w:rPr>
                <w:rFonts w:ascii="游明朝" w:hAnsi="游明朝" w:eastAsia="游明朝"/>
                <w:b w:val="0"/>
                <w:color w:val="23301F"/>
                <w:sz w:val="21"/>
              </w:rPr>
              <w:t>国際交流が身近な現代、私は21世紀アジア学部で多様な文化を学び、自分の常識をいったん脇に置いて相手の立場から考える習慣を身につけたい。対話を重ねることが、信頼を築く第一歩だと考える。</w:t>
            </w:r>
          </w:p>
        </w:tc>
      </w:tr>
    </w:tbl>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アドミッションポリシーとのつながり</w:t>
      </w:r>
    </w:p>
    <w:p>
      <w:pPr>
        <w:spacing w:after="40" w:before="0" w:line="300" w:lineRule="auto"/>
        <w:ind w:left="227" w:hanging="227"/>
      </w:pPr>
      <w:r>
        <w:rPr>
          <w:rFonts w:ascii="游ゴシック" w:hAnsi="游ゴシック" w:eastAsia="游ゴシック"/>
          <w:b/>
          <w:color w:val="23301F"/>
          <w:sz w:val="21"/>
        </w:rPr>
        <w:t>・</w:t>
      </w:r>
      <w:r>
        <w:rPr>
          <w:rFonts w:ascii="游ゴシック" w:hAnsi="游ゴシック" w:eastAsia="游ゴシック"/>
          <w:b w:val="0"/>
          <w:color w:val="23301F"/>
          <w:sz w:val="21"/>
        </w:rPr>
        <w:t>21世紀アジア学部：世界で活躍することを目指して、自らを向上させようとする強い意志を持つ学生を受け入れる</w:t>
      </w:r>
    </w:p>
    <w:p>
      <w:pPr>
        <w:spacing w:after="40" w:before="0" w:line="300" w:lineRule="auto"/>
        <w:ind w:left="227" w:hanging="227"/>
      </w:pPr>
      <w:r>
        <w:rPr>
          <w:rFonts w:ascii="游ゴシック" w:hAnsi="游ゴシック" w:eastAsia="游ゴシック"/>
          <w:b/>
          <w:color w:val="23301F"/>
          <w:sz w:val="21"/>
        </w:rPr>
        <w:t>・</w:t>
      </w:r>
      <w:r>
        <w:rPr>
          <w:rFonts w:ascii="游ゴシック" w:hAnsi="游ゴシック" w:eastAsia="游ゴシック"/>
          <w:b w:val="0"/>
          <w:color w:val="23301F"/>
          <w:sz w:val="21"/>
        </w:rPr>
        <w:t>大学全体：建学の精神・教育理念に共感し、人のために尽くせる人材になろうとする意欲を持つ学生</w:t>
      </w:r>
    </w:p>
    <w:p>
      <w:pPr>
        <w:spacing w:after="40" w:before="40" w:line="300" w:lineRule="auto"/>
      </w:pPr>
      <w:r>
        <w:rPr>
          <w:rFonts w:ascii="游ゴシック" w:hAnsi="游ゴシック" w:eastAsia="游ゴシック"/>
          <w:b w:val="0"/>
          <w:color w:val="23301F"/>
          <w:sz w:val="21"/>
        </w:rPr>
        <w:t>異文化を「思い込まずに理解しようとする姿勢」と「対話で信頼を築く」という結論は、世界で活躍することを目指す21世紀アジア学部の方針とよく合っている。学部での学びを結論に一言入れると、さらに伝わりやすい。</w:t>
      </w:r>
    </w:p>
    <w:p>
      <w:pPr>
        <w:spacing w:after="80" w:before="0" w:line="300" w:lineRule="auto"/>
      </w:pPr>
      <w:r>
        <w:rPr>
          <w:rFonts w:ascii="游ゴシック" w:hAnsi="游ゴシック" w:eastAsia="游ゴシック"/>
          <w:b w:val="0"/>
          <w:color w:val="5B6B54"/>
          <w:sz w:val="16"/>
        </w:rPr>
        <w:t>出典：https://www.kokushikan.ac.jp/admission/undergraduate/guidebook/docs/admission_guidebook_2026.pdf</w:t>
      </w:r>
    </w:p>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次回の課題</w:t>
      </w:r>
    </w:p>
    <w:p>
      <w:pPr>
        <w:spacing w:after="40" w:before="0" w:line="300" w:lineRule="auto"/>
      </w:pPr>
      <w:r>
        <w:rPr>
          <w:rFonts w:ascii="游ゴシック" w:hAnsi="游ゴシック" w:eastAsia="游ゴシック"/>
          <w:b/>
          <w:color w:val="D9782D"/>
          <w:sz w:val="21"/>
        </w:rPr>
        <w:t>1．</w:t>
      </w:r>
      <w:r>
        <w:rPr>
          <w:rFonts w:ascii="游ゴシック" w:hAnsi="游ゴシック" w:eastAsia="游ゴシック"/>
          <w:b w:val="0"/>
          <w:color w:val="23301F"/>
          <w:sz w:val="21"/>
        </w:rPr>
        <w:t>体験は「いつ・どこで・誰と・何があったか」が分かる一場面で書く（本当にあったことだけ）</w:t>
      </w:r>
    </w:p>
    <w:p>
      <w:pPr>
        <w:spacing w:after="40" w:before="0" w:line="300" w:lineRule="auto"/>
      </w:pPr>
      <w:r>
        <w:rPr>
          <w:rFonts w:ascii="游ゴシック" w:hAnsi="游ゴシック" w:eastAsia="游ゴシック"/>
          <w:b/>
          <w:color w:val="D9782D"/>
          <w:sz w:val="21"/>
        </w:rPr>
        <w:t>2．</w:t>
      </w:r>
      <w:r>
        <w:rPr>
          <w:rFonts w:ascii="游ゴシック" w:hAnsi="游ゴシック" w:eastAsia="游ゴシック"/>
          <w:b w:val="0"/>
          <w:color w:val="23301F"/>
          <w:sz w:val="21"/>
        </w:rPr>
        <w:t>国や文化について書くときは「傾向がある」とし、決めつけの表現を避ける</w:t>
      </w:r>
    </w:p>
    <w:p>
      <w:pPr>
        <w:spacing w:after="40" w:before="0" w:line="300" w:lineRule="auto"/>
      </w:pPr>
      <w:r>
        <w:rPr>
          <w:rFonts w:ascii="游ゴシック" w:hAnsi="游ゴシック" w:eastAsia="游ゴシック"/>
          <w:b/>
          <w:color w:val="D9782D"/>
          <w:sz w:val="21"/>
        </w:rPr>
        <w:t>3．</w:t>
      </w:r>
      <w:r>
        <w:rPr>
          <w:rFonts w:ascii="游ゴシック" w:hAnsi="游ゴシック" w:eastAsia="游ゴシック"/>
          <w:b w:val="0"/>
          <w:color w:val="23301F"/>
          <w:sz w:val="21"/>
        </w:rPr>
        <w:t>同じ言葉の重なり（だけ・だけ）や読点の抜けを、最後の見直しで確認する</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color w:val="5B6B54"/>
        <w:sz w:val="16"/>
      </w:rPr>
      <w:t>小論文添削（ショー）</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