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石川陽太</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文学部 教育学科 総合型選抜 令和8年度 Ⅰ期（10月24日）</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想像力の使い方　／　燃え殻『ブルー ハワイ』</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筆者の「想像力の使い方」に関する主張を要約し、それに対するあなたの考えを600字で述べなさい。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314字（9割（540字）に届いていない）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52</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要約と賛否は示せている。ただ理由が課題文の中身（宗教・家の事情）の言い換えにとどまり、「想像力をどう使うべきか」への自分の答えが弱い。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要約→賛成→理由2つの形は良い。結論の段落がなく、理由②「子どもの人生だから大人が思うことをやらせる必要はない」は主張とのつながりが薄い。</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自分の体験や具体的な場面が一つもない。小学校時代など、身近な例を一つ入れると説得力が大きく上がる。</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8 / 20</w:t>
            </w:r>
          </w:p>
        </w:tc>
        <w:tc>
          <w:tcPr>
            <w:tcW w:type="dxa" w:w="6350"/>
            <w:vAlign w:val="center"/>
          </w:tcPr>
          <w:p>
            <w:pPr>
              <w:spacing w:after="0" w:line="288" w:lineRule="auto"/>
            </w:pPr>
            <w:r/>
            <w:r>
              <w:rPr>
                <w:rFonts w:ascii="游ゴシック" w:hAnsi="游ゴシック" w:eastAsia="游ゴシック"/>
                <w:b w:val="0"/>
                <w:color w:val="23301F"/>
                <w:sz w:val="19"/>
              </w:rPr>
              <w:t>教育学科なのに、教育や教員の役割への言及がない。「子どもが一緒に過ごせる場をつくる」ことは教育そのものなので、最後に必ずつなげたい。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だ・である調はほぼ統一できている。「〜べきだ」「〜関係がない」など文末がやや強い。字数は314字で、600字程度なら半分ほど（後半があるか要確認）。</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600字）は大学公式の過去問で確認した。課題文を読み取り、賛成の立場をはっきり示せている点は良い。一方で、理由が課題文の言い換えで終わり、自分の体験や教育とのつながりがないため、内容が薄く見える。結論の段落を必ず置き、「教員として子どもたちが一緒に過ごせる場をつくりたい」と教育学科の学びに結べば、答案の芯ができ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筆者の主張を、例（身体の不自由な子・男女・年齢）を挙げて正しく要約できている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「賛成する」と自分の立場を早い段階ではっきり示している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「理由は二つある」と予告してから書いており、読み手が迷わない</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結論の段落を必ず書く</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「子どもの人生なのだから大人が思うことをやらせる必要がないと考えるからだ。」</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理由で終わっている。「以上より、想像力は〜に使うべきである」と主張をもう一度まとめ、教育学科での学びにつなげる段落を足す。</w:t>
      </w:r>
    </w:p>
    <w:p>
      <w:pPr>
        <w:spacing w:after="20" w:before="60" w:line="300" w:lineRule="auto"/>
      </w:pPr>
      <w:r>
        <w:rPr>
          <w:rFonts w:ascii="游ゴシック" w:hAnsi="游ゴシック" w:eastAsia="游ゴシック"/>
          <w:b/>
          <w:color w:val="17321A"/>
          <w:sz w:val="21"/>
        </w:rPr>
        <w:t>2. 理由を「自分の考え」にする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「小学生なのだから宗教や家がお寺などということを深く考えず、仲良く遊んだ方が良い」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課題文の内容の繰り返しになっている。「違いを意識するより一緒に楽しむ経験が、相手を受け入れる力になる」のように、なぜそう言えるのかを自分の言葉で書く。</w:t>
      </w:r>
    </w:p>
    <w:p>
      <w:pPr>
        <w:spacing w:after="20" w:before="60" w:line="300" w:lineRule="auto"/>
      </w:pPr>
      <w:r>
        <w:rPr>
          <w:rFonts w:ascii="游ゴシック" w:hAnsi="游ゴシック" w:eastAsia="游ゴシック"/>
          <w:b/>
          <w:color w:val="17321A"/>
          <w:sz w:val="21"/>
        </w:rPr>
        <w:t>3. 自分の体験を一つ入れる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小学校や部活動で、違いのある友だちと一緒に過ごした経験があれば一文でよいので入れる。教育学部系の小論文では体験が強い根拠になる。</w:t>
      </w:r>
    </w:p>
    <w:p>
      <w:pPr>
        <w:spacing w:after="20" w:before="60" w:line="300" w:lineRule="auto"/>
      </w:pPr>
      <w:r>
        <w:rPr>
          <w:rFonts w:ascii="游ゴシック" w:hAnsi="游ゴシック" w:eastAsia="游ゴシック"/>
          <w:b/>
          <w:color w:val="17321A"/>
          <w:sz w:val="21"/>
        </w:rPr>
        <w:t>4. 理由②を主張とつなげる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「二つ目は、大人の事情があったとしても、それは別に子どもの世界には関係がない。」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「大人の事情を持ち込むと、子どもは人を立場で判断することを覚えてしまう」のように、なぜ関係がないと言えるのかを補う。</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あなたの答案（314字）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第1段落</w:t>
            </w:r>
          </w:p>
          <w:p>
            <w:pPr>
              <w:spacing w:after="0" w:line="288" w:lineRule="auto"/>
            </w:pPr>
            <w:r>
              <w:rPr>
                <w:rFonts w:ascii="游ゴシック" w:hAnsi="游ゴシック" w:eastAsia="游ゴシック"/>
                <w:b/>
                <w:color w:val="2C5F2D"/>
                <w:sz w:val="19"/>
              </w:rPr>
              <w:t>108字</w:t>
            </w:r>
          </w:p>
        </w:tc>
        <w:tc>
          <w:tcPr>
            <w:tcW w:type="dxa" w:w="8277"/>
            <w:vAlign w:val="center"/>
          </w:tcPr>
          <w:p>
            <w:pPr>
              <w:spacing w:after="0" w:line="288" w:lineRule="auto"/>
            </w:pPr>
            <w:r/>
            <w:r>
              <w:rPr>
                <w:rFonts w:ascii="游明朝" w:hAnsi="游明朝" w:eastAsia="游明朝"/>
                <w:b w:val="0"/>
                <w:color w:val="23301F"/>
                <w:sz w:val="21"/>
              </w:rPr>
              <w:t>筆者は「想像力の使い方」について、立場や個性や事情を突き詰めて考えるよりも、「いま」を一緒に味わうことを考えている。つまり、身体の不自由な子も女の子も男の子も年齢も関係なく、みんなで遊べるようにしていたと述べてい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第2段落</w:t>
            </w:r>
          </w:p>
          <w:p>
            <w:pPr>
              <w:spacing w:after="0" w:line="288" w:lineRule="auto"/>
            </w:pPr>
            <w:r>
              <w:rPr>
                <w:rFonts w:ascii="游ゴシック" w:hAnsi="游ゴシック" w:eastAsia="游ゴシック"/>
                <w:b/>
                <w:color w:val="2C5F2D"/>
                <w:sz w:val="19"/>
              </w:rPr>
              <w:t>24字</w:t>
            </w:r>
          </w:p>
        </w:tc>
        <w:tc>
          <w:tcPr>
            <w:tcW w:type="dxa" w:w="8277"/>
            <w:vAlign w:val="center"/>
          </w:tcPr>
          <w:p>
            <w:pPr>
              <w:spacing w:after="0" w:line="288" w:lineRule="auto"/>
            </w:pPr>
            <w:r/>
            <w:r>
              <w:rPr>
                <w:rFonts w:ascii="游明朝" w:hAnsi="游明朝" w:eastAsia="游明朝"/>
                <w:b w:val="0"/>
                <w:color w:val="23301F"/>
                <w:sz w:val="21"/>
              </w:rPr>
              <w:t>私は、筆者の「想像力の使い方」について賛成する。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第3段落</w:t>
            </w:r>
          </w:p>
          <w:p>
            <w:pPr>
              <w:spacing w:after="0" w:line="288" w:lineRule="auto"/>
            </w:pPr>
            <w:r>
              <w:rPr>
                <w:rFonts w:ascii="游ゴシック" w:hAnsi="游ゴシック" w:eastAsia="游ゴシック"/>
                <w:b/>
                <w:color w:val="2C5F2D"/>
                <w:sz w:val="19"/>
              </w:rPr>
              <w:t>182字</w:t>
            </w:r>
          </w:p>
        </w:tc>
        <w:tc>
          <w:tcPr>
            <w:tcW w:type="dxa" w:w="8277"/>
            <w:vAlign w:val="center"/>
          </w:tcPr>
          <w:p>
            <w:pPr>
              <w:spacing w:after="0" w:line="288" w:lineRule="auto"/>
            </w:pPr>
            <w:r/>
            <w:r>
              <w:rPr>
                <w:rFonts w:ascii="游明朝" w:hAnsi="游明朝" w:eastAsia="游明朝"/>
                <w:b w:val="0"/>
                <w:color w:val="23301F"/>
                <w:sz w:val="21"/>
              </w:rPr>
              <w:t>そう考える理由は二つある。一つ目は、小学生なのだから宗教や家がお寺などということを深く考えず、仲良く遊んだ方が良いと考えるからである。加えて、そのようなことに想像力を使うよりも、他のことに考えを巡らせるべきだ。二つ目は、大人の事情があったとしても、それは別に子どもの世界には関係がない。また、子どもの人生なのだから大人が思うことをやらせる必要がないと考えるからだ。</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立場や個性や事情を</w:t>
            </w:r>
          </w:p>
        </w:tc>
        <w:tc>
          <w:tcPr>
            <w:tcW w:type="dxa" w:w="3402"/>
            <w:vAlign w:val="center"/>
          </w:tcPr>
          <w:p>
            <w:pPr>
              <w:spacing w:after="0" w:line="288" w:lineRule="auto"/>
            </w:pPr>
            <w:r/>
            <w:r>
              <w:rPr>
                <w:rFonts w:ascii="游明朝" w:hAnsi="游明朝" w:eastAsia="游明朝"/>
                <w:b/>
                <w:color w:val="2C5F2D"/>
                <w:sz w:val="19"/>
              </w:rPr>
              <w:t>立場や個性、事情を</w:t>
            </w:r>
          </w:p>
        </w:tc>
        <w:tc>
          <w:tcPr>
            <w:tcW w:type="dxa" w:w="2835"/>
            <w:vAlign w:val="center"/>
          </w:tcPr>
          <w:p>
            <w:pPr>
              <w:spacing w:after="0" w:line="288" w:lineRule="auto"/>
            </w:pPr>
            <w:r/>
            <w:r>
              <w:rPr>
                <w:rFonts w:ascii="游ゴシック" w:hAnsi="游ゴシック" w:eastAsia="游ゴシック"/>
                <w:b w:val="0"/>
                <w:color w:val="23301F"/>
                <w:sz w:val="18"/>
              </w:rPr>
              <w:t>「や」の重ねすぎを避ける</w:t>
            </w:r>
          </w:p>
        </w:tc>
      </w:tr>
      <w:tr>
        <w:tc>
          <w:tcPr>
            <w:tcW w:type="dxa" w:w="3402"/>
            <w:vAlign w:val="center"/>
          </w:tcPr>
          <w:p>
            <w:pPr>
              <w:spacing w:after="0" w:line="288" w:lineRule="auto"/>
            </w:pPr>
            <w:r/>
            <w:r>
              <w:rPr>
                <w:rFonts w:ascii="游明朝" w:hAnsi="游明朝" w:eastAsia="游明朝"/>
                <w:b w:val="0"/>
                <w:color w:val="23301F"/>
                <w:sz w:val="19"/>
              </w:rPr>
              <w:t>「いま」を一緒に味わうことを考えている。</w:t>
            </w:r>
          </w:p>
        </w:tc>
        <w:tc>
          <w:tcPr>
            <w:tcW w:type="dxa" w:w="3402"/>
            <w:vAlign w:val="center"/>
          </w:tcPr>
          <w:p>
            <w:pPr>
              <w:spacing w:after="0" w:line="288" w:lineRule="auto"/>
            </w:pPr>
            <w:r/>
            <w:r>
              <w:rPr>
                <w:rFonts w:ascii="游明朝" w:hAnsi="游明朝" w:eastAsia="游明朝"/>
                <w:b/>
                <w:color w:val="2C5F2D"/>
                <w:sz w:val="19"/>
              </w:rPr>
              <w:t>「いま」を一緒に味わうことに使うべきだと考えている。</w:t>
            </w:r>
          </w:p>
        </w:tc>
        <w:tc>
          <w:tcPr>
            <w:tcW w:type="dxa" w:w="2835"/>
            <w:vAlign w:val="center"/>
          </w:tcPr>
          <w:p>
            <w:pPr>
              <w:spacing w:after="0" w:line="288" w:lineRule="auto"/>
            </w:pPr>
            <w:r/>
            <w:r>
              <w:rPr>
                <w:rFonts w:ascii="游ゴシック" w:hAnsi="游ゴシック" w:eastAsia="游ゴシック"/>
                <w:b w:val="0"/>
                <w:color w:val="23301F"/>
                <w:sz w:val="18"/>
              </w:rPr>
              <w:t>何を考えているのかが曖昧。主張の形にする</w:t>
            </w:r>
          </w:p>
        </w:tc>
      </w:tr>
      <w:tr>
        <w:tc>
          <w:tcPr>
            <w:tcW w:type="dxa" w:w="3402"/>
            <w:vAlign w:val="center"/>
          </w:tcPr>
          <w:p>
            <w:pPr>
              <w:spacing w:after="0" w:line="288" w:lineRule="auto"/>
            </w:pPr>
            <w:r/>
            <w:r>
              <w:rPr>
                <w:rFonts w:ascii="游明朝" w:hAnsi="游明朝" w:eastAsia="游明朝"/>
                <w:b w:val="0"/>
                <w:color w:val="23301F"/>
                <w:sz w:val="19"/>
              </w:rPr>
              <w:t>女の子も男の子も年齢も関係なく</w:t>
            </w:r>
          </w:p>
        </w:tc>
        <w:tc>
          <w:tcPr>
            <w:tcW w:type="dxa" w:w="3402"/>
            <w:vAlign w:val="center"/>
          </w:tcPr>
          <w:p>
            <w:pPr>
              <w:spacing w:after="0" w:line="288" w:lineRule="auto"/>
            </w:pPr>
            <w:r/>
            <w:r>
              <w:rPr>
                <w:rFonts w:ascii="游明朝" w:hAnsi="游明朝" w:eastAsia="游明朝"/>
                <w:b/>
                <w:color w:val="2C5F2D"/>
                <w:sz w:val="19"/>
              </w:rPr>
              <w:t>男の子も女の子も、年齢も関係なく</w:t>
            </w:r>
          </w:p>
        </w:tc>
        <w:tc>
          <w:tcPr>
            <w:tcW w:type="dxa" w:w="2835"/>
            <w:vAlign w:val="center"/>
          </w:tcPr>
          <w:p>
            <w:pPr>
              <w:spacing w:after="0" w:line="288" w:lineRule="auto"/>
            </w:pPr>
            <w:r/>
            <w:r>
              <w:rPr>
                <w:rFonts w:ascii="游ゴシック" w:hAnsi="游ゴシック" w:eastAsia="游ゴシック"/>
                <w:b w:val="0"/>
                <w:color w:val="23301F"/>
                <w:sz w:val="18"/>
              </w:rPr>
              <w:t>並べる言葉の種類をそろえる（人と属性が混在）</w:t>
            </w:r>
          </w:p>
        </w:tc>
      </w:tr>
      <w:tr>
        <w:tc>
          <w:tcPr>
            <w:tcW w:type="dxa" w:w="3402"/>
            <w:vAlign w:val="center"/>
          </w:tcPr>
          <w:p>
            <w:pPr>
              <w:spacing w:after="0" w:line="288" w:lineRule="auto"/>
            </w:pPr>
            <w:r/>
            <w:r>
              <w:rPr>
                <w:rFonts w:ascii="游明朝" w:hAnsi="游明朝" w:eastAsia="游明朝"/>
                <w:b w:val="0"/>
                <w:color w:val="23301F"/>
                <w:sz w:val="19"/>
              </w:rPr>
              <w:t>宗教や家がお寺などということを</w:t>
            </w:r>
          </w:p>
        </w:tc>
        <w:tc>
          <w:tcPr>
            <w:tcW w:type="dxa" w:w="3402"/>
            <w:vAlign w:val="center"/>
          </w:tcPr>
          <w:p>
            <w:pPr>
              <w:spacing w:after="0" w:line="288" w:lineRule="auto"/>
            </w:pPr>
            <w:r/>
            <w:r>
              <w:rPr>
                <w:rFonts w:ascii="游明朝" w:hAnsi="游明朝" w:eastAsia="游明朝"/>
                <w:b/>
                <w:color w:val="2C5F2D"/>
                <w:sz w:val="19"/>
              </w:rPr>
              <w:t>家の宗教などの事情を</w:t>
            </w:r>
          </w:p>
        </w:tc>
        <w:tc>
          <w:tcPr>
            <w:tcW w:type="dxa" w:w="2835"/>
            <w:vAlign w:val="center"/>
          </w:tcPr>
          <w:p>
            <w:pPr>
              <w:spacing w:after="0" w:line="288" w:lineRule="auto"/>
            </w:pPr>
            <w:r/>
            <w:r>
              <w:rPr>
                <w:rFonts w:ascii="游ゴシック" w:hAnsi="游ゴシック" w:eastAsia="游ゴシック"/>
                <w:b w:val="0"/>
                <w:color w:val="23301F"/>
                <w:sz w:val="18"/>
              </w:rPr>
              <w:t>話し言葉的で冗長</w:t>
            </w:r>
          </w:p>
        </w:tc>
      </w:tr>
      <w:tr>
        <w:tc>
          <w:tcPr>
            <w:tcW w:type="dxa" w:w="3402"/>
            <w:vAlign w:val="center"/>
          </w:tcPr>
          <w:p>
            <w:pPr>
              <w:spacing w:after="0" w:line="288" w:lineRule="auto"/>
            </w:pPr>
            <w:r/>
            <w:r>
              <w:rPr>
                <w:rFonts w:ascii="游明朝" w:hAnsi="游明朝" w:eastAsia="游明朝"/>
                <w:b w:val="0"/>
                <w:color w:val="23301F"/>
                <w:sz w:val="19"/>
              </w:rPr>
              <w:t>それは別に子どもの世界には関係がない。</w:t>
            </w:r>
          </w:p>
        </w:tc>
        <w:tc>
          <w:tcPr>
            <w:tcW w:type="dxa" w:w="3402"/>
            <w:vAlign w:val="center"/>
          </w:tcPr>
          <w:p>
            <w:pPr>
              <w:spacing w:after="0" w:line="288" w:lineRule="auto"/>
            </w:pPr>
            <w:r/>
            <w:r>
              <w:rPr>
                <w:rFonts w:ascii="游明朝" w:hAnsi="游明朝" w:eastAsia="游明朝"/>
                <w:b/>
                <w:color w:val="2C5F2D"/>
                <w:sz w:val="19"/>
              </w:rPr>
              <w:t>それを子どもの世界に持ち込むべきではない。</w:t>
            </w:r>
          </w:p>
        </w:tc>
        <w:tc>
          <w:tcPr>
            <w:tcW w:type="dxa" w:w="2835"/>
            <w:vAlign w:val="center"/>
          </w:tcPr>
          <w:p>
            <w:pPr>
              <w:spacing w:after="0" w:line="288" w:lineRule="auto"/>
            </w:pPr>
            <w:r/>
            <w:r>
              <w:rPr>
                <w:rFonts w:ascii="游ゴシック" w:hAnsi="游ゴシック" w:eastAsia="游ゴシック"/>
                <w:b w:val="0"/>
                <w:color w:val="23301F"/>
                <w:sz w:val="18"/>
              </w:rPr>
              <w:t>「別に」は話し言葉。理由の文の形（〜からである）にもそろえる</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【第1段落】要約：想像力は事情を突き詰めるより「いま」を一緒に味わうことに</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【序論】要約：「いま」を一緒に味わう想像力（例：誰もが遊べる場）</w:t>
            </w:r>
          </w:p>
        </w:tc>
      </w:tr>
      <w:tr>
        <w:tc>
          <w:tcPr>
            <w:tcW w:type="dxa" w:w="4819"/>
            <w:vAlign w:val="center"/>
          </w:tcPr>
          <w:p>
            <w:pPr>
              <w:spacing w:after="0" w:line="288" w:lineRule="auto"/>
            </w:pPr>
            <w:r/>
            <w:r>
              <w:rPr>
                <w:rFonts w:ascii="游ゴシック" w:hAnsi="游ゴシック" w:eastAsia="游ゴシック"/>
                <w:b w:val="0"/>
                <w:color w:val="23301F"/>
                <w:sz w:val="19"/>
              </w:rPr>
              <w:t>【第2段落】主張：賛成</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【主張】賛成（一文）</w:t>
            </w:r>
          </w:p>
        </w:tc>
      </w:tr>
      <w:tr>
        <w:tc>
          <w:tcPr>
            <w:tcW w:type="dxa" w:w="4819"/>
            <w:vAlign w:val="center"/>
          </w:tcPr>
          <w:p>
            <w:pPr>
              <w:spacing w:after="0" w:line="288" w:lineRule="auto"/>
            </w:pPr>
            <w:r/>
            <w:r>
              <w:rPr>
                <w:rFonts w:ascii="游ゴシック" w:hAnsi="游ゴシック" w:eastAsia="游ゴシック"/>
                <w:b w:val="0"/>
                <w:color w:val="23301F"/>
                <w:sz w:val="19"/>
              </w:rPr>
              <w:t>【第3段落】理由①：小学生は事情を考えず仲良く遊ぶべき／理由②：大人の事情は子どもに関係ない（結論なし）</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【本論①】違いより一緒に楽しむ経験 → 相手を受け入れる力に（体験を一つ）</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【本論②】大人の事情を持ち込むと人を属性で判断するように → 大人は場を整える役</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【結論】想像力は「いま」をつくるために → 教育学科で学級づくりを学び、どの子も安心できる場をつくる教員に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書き直し例（554字）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120字</w:t>
            </w:r>
          </w:p>
        </w:tc>
        <w:tc>
          <w:tcPr>
            <w:tcW w:type="dxa" w:w="8277"/>
            <w:vAlign w:val="center"/>
          </w:tcPr>
          <w:p>
            <w:pPr>
              <w:spacing w:after="0" w:line="288" w:lineRule="auto"/>
            </w:pPr>
            <w:r/>
            <w:r>
              <w:rPr>
                <w:rFonts w:ascii="游明朝" w:hAnsi="游明朝" w:eastAsia="游明朝"/>
                <w:b w:val="0"/>
                <w:color w:val="23301F"/>
                <w:sz w:val="21"/>
              </w:rPr>
              <w:t>筆者は「想像力の使い方」について、相手の立場や事情を突き詰めて考えるよりも、「いま」を一緒に味わうことに使うべきだと述べている。身体の不自由な子も、男の子も女の子も、年齢も関係なく、みんなで遊べる場をつくっていたという例がそれを示してい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主張</w:t>
            </w:r>
          </w:p>
          <w:p>
            <w:pPr>
              <w:spacing w:after="0" w:line="288" w:lineRule="auto"/>
            </w:pPr>
            <w:r>
              <w:rPr>
                <w:rFonts w:ascii="游ゴシック" w:hAnsi="游ゴシック" w:eastAsia="游ゴシック"/>
                <w:b/>
                <w:color w:val="2C5F2D"/>
                <w:sz w:val="19"/>
              </w:rPr>
              <w:t>25字</w:t>
            </w:r>
          </w:p>
        </w:tc>
        <w:tc>
          <w:tcPr>
            <w:tcW w:type="dxa" w:w="8277"/>
            <w:vAlign w:val="center"/>
          </w:tcPr>
          <w:p>
            <w:pPr>
              <w:spacing w:after="0" w:line="288" w:lineRule="auto"/>
            </w:pPr>
            <w:r/>
            <w:r>
              <w:rPr>
                <w:rFonts w:ascii="游明朝" w:hAnsi="游明朝" w:eastAsia="游明朝"/>
                <w:b w:val="0"/>
                <w:color w:val="23301F"/>
                <w:sz w:val="21"/>
              </w:rPr>
              <w:t>私は、この筆者の考えに賛成である。理由は二つある。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155字</w:t>
            </w:r>
          </w:p>
        </w:tc>
        <w:tc>
          <w:tcPr>
            <w:tcW w:type="dxa" w:w="8277"/>
            <w:vAlign w:val="center"/>
          </w:tcPr>
          <w:p>
            <w:pPr>
              <w:spacing w:after="0" w:line="288" w:lineRule="auto"/>
            </w:pPr>
            <w:r/>
            <w:r>
              <w:rPr>
                <w:rFonts w:ascii="游明朝" w:hAnsi="游明朝" w:eastAsia="游明朝"/>
                <w:b w:val="0"/>
                <w:color w:val="23301F"/>
                <w:sz w:val="21"/>
              </w:rPr>
              <w:t>一つ目は、子どもにとって大切なのは、違いを意識することより、同じ時間を楽しむ経験だからである。家の宗教や事情を深く考えすぎると、かえって相手との間に壁をつくってしまう。違いがあっても一緒に笑い合えた経験こそが、相手を自然に受け入れる力になると考える。違いへの理解は、一緒に過ごす中で後から育っていくもので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136字</w:t>
            </w:r>
          </w:p>
        </w:tc>
        <w:tc>
          <w:tcPr>
            <w:tcW w:type="dxa" w:w="8277"/>
            <w:vAlign w:val="center"/>
          </w:tcPr>
          <w:p>
            <w:pPr>
              <w:spacing w:after="0" w:line="288" w:lineRule="auto"/>
            </w:pPr>
            <w:r/>
            <w:r>
              <w:rPr>
                <w:rFonts w:ascii="游明朝" w:hAnsi="游明朝" w:eastAsia="游明朝"/>
                <w:b w:val="0"/>
                <w:color w:val="23301F"/>
                <w:sz w:val="21"/>
              </w:rPr>
              <w:t>二つ目は、大人の事情を子どもの世界に持ち込むべきではないからである。大人の都合で遊ぶ相手を選ばせれば、子どもは人を立場や属性で判断することを覚えてしまう。子どもが自分で関係を築ける場を守ることが、大人の役割である。大人は口を出すより、遊びの場を整えることに力を注ぐべきだ。</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118字</w:t>
            </w:r>
          </w:p>
        </w:tc>
        <w:tc>
          <w:tcPr>
            <w:tcW w:type="dxa" w:w="8277"/>
            <w:vAlign w:val="center"/>
          </w:tcPr>
          <w:p>
            <w:pPr>
              <w:spacing w:after="0" w:line="288" w:lineRule="auto"/>
            </w:pPr>
            <w:r/>
            <w:r>
              <w:rPr>
                <w:rFonts w:ascii="游明朝" w:hAnsi="游明朝" w:eastAsia="游明朝"/>
                <w:b w:val="0"/>
                <w:color w:val="23301F"/>
                <w:sz w:val="21"/>
              </w:rPr>
              <w:t>以上より、想像力は相手を分けるためではなく、みんなが一緒に過ごせる「いま」をつくるために使うべきである。私は教育学科で子どもの発達や学級づくりを学び、障害の有無や性別に関係なく、どの子も安心して一緒に過ごせる場をつくれる教員になり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大学全体：建学の精神・教育理念に共感し、学問への意欲と、多様性・主体性への姿勢を持つ学生</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文学部 教育学科：本学の教育の理念を理解し、学ぶ意欲が高く、学科の求める学生像に合う学生を選抜（学科固有の方針本文は未確認）</w:t>
      </w:r>
    </w:p>
    <w:p>
      <w:pPr>
        <w:spacing w:after="40" w:before="40" w:line="300" w:lineRule="auto"/>
      </w:pPr>
      <w:r>
        <w:rPr>
          <w:rFonts w:ascii="游ゴシック" w:hAnsi="游ゴシック" w:eastAsia="游ゴシック"/>
          <w:b w:val="0"/>
          <w:color w:val="23301F"/>
          <w:sz w:val="21"/>
        </w:rPr>
        <w:t>答案には教育への言及がない。教育学科の小論文では「教員としてどう関わるか」「何を学びたいか」を結論に入れることが、学ぶ意欲と学科との適合を示す一番確かな方法である。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　https://contact.kokushikan.ac.jp/faculty/Letters/about/file/Letters_education_AP.pdf（本文未確認）</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どの答案でも、最後に「以上より〜。私は教育学科で〜を学び、〜な教員になりたい」の結論段落を書く</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理由には自分の体験を一つ入れる（小・中学校、部活動、委員会など）</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600字程度なら540字以上を目標に、原稿用紙の2枚目まで書き切る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