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9639" w:type="dxa"/>
        <w:jc w:val="center"/>
        <w:tblLayout w:type="fixed"/>
        <w:tblLook w:firstColumn="1" w:firstRow="1" w:lastColumn="0" w:lastRow="0" w:noHBand="0" w:noVBand="1" w:val="04A0"/>
      </w:tblPr>
      <w:tblGrid>
        <w:gridCol w:w="6237"/>
        <w:gridCol w:w="3402"/>
      </w:tblGrid>
      <w:tr>
        <w:tc>
          <w:tcPr>
            <w:tcW w:type="dxa" w:w="6236"/>
            <w:shd w:val="clear" w:color="auto" w:fill="2C5F2D"/>
            <w:vAlign w:val="center"/>
          </w:tcPr>
          <w:p>
            <w:pPr>
              <w:spacing w:after="0" w:line="288" w:lineRule="auto"/>
            </w:pPr>
            <w:r/>
            <w:r>
              <w:rPr>
                <w:rFonts w:ascii="游ゴシック" w:hAnsi="游ゴシック" w:eastAsia="游ゴシック"/>
                <w:b/>
                <w:color w:val="FFFFFF"/>
                <w:sz w:val="40"/>
              </w:rPr>
              <w:t>小論文 添削シート</w:t>
            </w:r>
          </w:p>
        </w:tc>
        <w:tc>
          <w:tcPr>
            <w:tcW w:type="dxa" w:w="3402"/>
            <w:shd w:val="clear" w:color="auto" w:fill="2C5F2D"/>
            <w:vAlign w:val="center"/>
          </w:tcPr>
          <w:p>
            <w:pPr>
              <w:spacing w:after="0" w:line="288" w:lineRule="auto"/>
              <w:jc w:val="right"/>
            </w:pPr>
            <w:r/>
            <w:r>
              <w:rPr>
                <w:rFonts w:ascii="游ゴシック" w:hAnsi="游ゴシック" w:eastAsia="游ゴシック"/>
                <w:b/>
                <w:color w:val="FFFFFF"/>
                <w:sz w:val="21"/>
              </w:rPr>
              <w:t>2026-10-17</w:t>
            </w:r>
          </w:p>
          <w:p>
            <w:pPr>
              <w:spacing w:after="0" w:line="288" w:lineRule="auto"/>
            </w:pPr>
            <w:r>
              <w:rPr>
                <w:rFonts w:ascii="游ゴシック" w:hAnsi="游ゴシック" w:eastAsia="游ゴシック"/>
                <w:b/>
                <w:color w:val="FFFFFF"/>
                <w:sz w:val="21"/>
              </w:rPr>
              <w:t>石川陽太</w:t>
            </w:r>
          </w:p>
        </w:tc>
      </w:tr>
    </w:tbl>
    <w:p>
      <w:pPr>
        <w:spacing w:after="40" w:before="0" w:line="300" w:lineRule="auto"/>
      </w:pP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134"/>
        <w:gridCol w:w="8505"/>
      </w:tblGrid>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志望</w:t>
            </w:r>
          </w:p>
        </w:tc>
        <w:tc>
          <w:tcPr>
            <w:tcW w:type="dxa" w:w="8504"/>
            <w:vAlign w:val="center"/>
          </w:tcPr>
          <w:p>
            <w:pPr>
              <w:spacing w:after="0" w:line="288" w:lineRule="auto"/>
            </w:pPr>
            <w:r/>
            <w:r>
              <w:rPr>
                <w:rFonts w:ascii="游ゴシック" w:hAnsi="游ゴシック" w:eastAsia="游ゴシック"/>
                <w:b w:val="0"/>
                <w:color w:val="23301F"/>
                <w:sz w:val="20"/>
              </w:rPr>
              <w:t>国士舘大学 文学部 教育学科 総合型選抜 令和8年度 Ⅲ期（1月31日）</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題材</w:t>
            </w:r>
          </w:p>
        </w:tc>
        <w:tc>
          <w:tcPr>
            <w:tcW w:type="dxa" w:w="8504"/>
            <w:vAlign w:val="center"/>
          </w:tcPr>
          <w:p>
            <w:pPr>
              <w:spacing w:after="0" w:line="288" w:lineRule="auto"/>
            </w:pPr>
            <w:r/>
            <w:r>
              <w:rPr>
                <w:rFonts w:ascii="游ゴシック" w:hAnsi="游ゴシック" w:eastAsia="游ゴシック"/>
                <w:b w:val="0"/>
                <w:color w:val="23301F"/>
                <w:sz w:val="20"/>
              </w:rPr>
              <w:t>言葉遣い・敬語と思いやり　／　マヤ・バーダマン『英語の気配り』</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設問</w:t>
            </w:r>
          </w:p>
        </w:tc>
        <w:tc>
          <w:tcPr>
            <w:tcW w:type="dxa" w:w="8504"/>
            <w:vAlign w:val="center"/>
          </w:tcPr>
          <w:p>
            <w:pPr>
              <w:spacing w:after="0" w:line="288" w:lineRule="auto"/>
            </w:pPr>
            <w:r/>
            <w:r>
              <w:rPr>
                <w:rFonts w:ascii="游ゴシック" w:hAnsi="游ゴシック" w:eastAsia="游ゴシック"/>
                <w:b w:val="0"/>
                <w:color w:val="23301F"/>
                <w:sz w:val="20"/>
              </w:rPr>
              <w:t>筆者が何を感じ、何に気づいたかについて述べた上で、その解釈に対するあなた自身の考えとそう考える理由を合計600字で論じなさい。</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字数</w:t>
            </w:r>
          </w:p>
        </w:tc>
        <w:tc>
          <w:tcPr>
            <w:tcW w:type="dxa" w:w="8504"/>
            <w:vAlign w:val="center"/>
          </w:tcPr>
          <w:p>
            <w:pPr>
              <w:spacing w:after="0" w:line="288" w:lineRule="auto"/>
            </w:pPr>
            <w:r/>
            <w:r>
              <w:rPr>
                <w:rFonts w:ascii="游ゴシック" w:hAnsi="游ゴシック" w:eastAsia="游ゴシック"/>
                <w:b w:val="0"/>
                <w:color w:val="23301F"/>
                <w:sz w:val="20"/>
              </w:rPr>
              <w:t>制限 600字以内　→　答案 332字（9割（540字）に届いていない）</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評価</w:t>
      </w:r>
    </w:p>
    <w:p>
      <w:pPr>
        <w:spacing w:after="80" w:before="0" w:line="300" w:lineRule="auto"/>
      </w:pPr>
      <w:r>
        <w:rPr>
          <w:rFonts w:ascii="游ゴシック" w:hAnsi="游ゴシック" w:eastAsia="游ゴシック"/>
          <w:b/>
          <w:color w:val="17321A"/>
          <w:sz w:val="24"/>
        </w:rPr>
        <w:t xml:space="preserve">総合 </w:t>
      </w:r>
      <w:r>
        <w:rPr>
          <w:rFonts w:ascii="游ゴシック" w:hAnsi="游ゴシック" w:eastAsia="游ゴシック"/>
          <w:b/>
          <w:color w:val="D9782D"/>
          <w:sz w:val="56"/>
        </w:rPr>
        <w:t>54</w:t>
      </w:r>
      <w:r>
        <w:rPr>
          <w:rFonts w:ascii="游ゴシック" w:hAnsi="游ゴシック" w:eastAsia="游ゴシック"/>
          <w:b/>
          <w:color w:val="17321A"/>
          <w:sz w:val="24"/>
        </w:rPr>
        <w:t xml:space="preserve"> / 100点</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2154"/>
        <w:gridCol w:w="1134"/>
        <w:gridCol w:w="6350"/>
      </w:tblGrid>
      <w:tr>
        <w:tc>
          <w:tcPr>
            <w:tcW w:type="dxa" w:w="2154"/>
            <w:shd w:val="clear" w:color="auto" w:fill="2C5F2D"/>
            <w:vAlign w:val="center"/>
          </w:tcPr>
          <w:p>
            <w:pPr>
              <w:spacing w:after="0" w:line="288" w:lineRule="auto"/>
              <w:jc w:val="center"/>
            </w:pPr>
            <w:r/>
            <w:r>
              <w:rPr>
                <w:rFonts w:ascii="游ゴシック" w:hAnsi="游ゴシック" w:eastAsia="游ゴシック"/>
                <w:b/>
                <w:color w:val="FFFFFF"/>
                <w:sz w:val="19"/>
              </w:rPr>
              <w:t>観点</w:t>
            </w:r>
          </w:p>
        </w:tc>
        <w:tc>
          <w:tcPr>
            <w:tcW w:type="dxa" w:w="1134"/>
            <w:shd w:val="clear" w:color="auto" w:fill="2C5F2D"/>
            <w:vAlign w:val="center"/>
          </w:tcPr>
          <w:p>
            <w:pPr>
              <w:spacing w:after="0" w:line="288" w:lineRule="auto"/>
              <w:jc w:val="center"/>
            </w:pPr>
            <w:r/>
            <w:r>
              <w:rPr>
                <w:rFonts w:ascii="游ゴシック" w:hAnsi="游ゴシック" w:eastAsia="游ゴシック"/>
                <w:b/>
                <w:color w:val="FFFFFF"/>
                <w:sz w:val="19"/>
              </w:rPr>
              <w:t>得点</w:t>
            </w:r>
          </w:p>
        </w:tc>
        <w:tc>
          <w:tcPr>
            <w:tcW w:type="dxa" w:w="6350"/>
            <w:shd w:val="clear" w:color="auto" w:fill="2C5F2D"/>
            <w:vAlign w:val="center"/>
          </w:tcPr>
          <w:p>
            <w:pPr>
              <w:spacing w:after="0" w:line="288" w:lineRule="auto"/>
              <w:jc w:val="center"/>
            </w:pPr>
            <w:r/>
            <w:r>
              <w:rPr>
                <w:rFonts w:ascii="游ゴシック" w:hAnsi="游ゴシック" w:eastAsia="游ゴシック"/>
                <w:b/>
                <w:color w:val="FFFFFF"/>
                <w:sz w:val="19"/>
              </w:rPr>
              <w:t>コメント</w:t>
            </w:r>
          </w:p>
        </w:tc>
      </w:tr>
      <w:tr>
        <w:tc>
          <w:tcPr>
            <w:tcW w:type="dxa" w:w="2154"/>
            <w:vAlign w:val="center"/>
          </w:tcPr>
          <w:p>
            <w:pPr>
              <w:spacing w:after="0" w:line="288" w:lineRule="auto"/>
            </w:pPr>
            <w:r/>
            <w:r>
              <w:rPr>
                <w:rFonts w:ascii="游ゴシック" w:hAnsi="游ゴシック" w:eastAsia="游ゴシック"/>
                <w:b/>
                <w:color w:val="17321A"/>
                <w:sz w:val="19"/>
              </w:rPr>
              <w:t>設問への応答</w:t>
            </w:r>
          </w:p>
        </w:tc>
        <w:tc>
          <w:tcPr>
            <w:tcW w:type="dxa" w:w="1134"/>
            <w:vAlign w:val="center"/>
          </w:tcPr>
          <w:p>
            <w:pPr>
              <w:spacing w:after="0" w:line="288" w:lineRule="auto"/>
              <w:jc w:val="center"/>
            </w:pPr>
            <w:r/>
            <w:r>
              <w:rPr>
                <w:rFonts w:ascii="游ゴシック" w:hAnsi="游ゴシック" w:eastAsia="游ゴシック"/>
                <w:b/>
                <w:color w:val="D9782D"/>
                <w:sz w:val="22"/>
              </w:rPr>
              <w:t>13 / 20</w:t>
            </w:r>
          </w:p>
        </w:tc>
        <w:tc>
          <w:tcPr>
            <w:tcW w:type="dxa" w:w="6350"/>
            <w:vAlign w:val="center"/>
          </w:tcPr>
          <w:p>
            <w:pPr>
              <w:spacing w:after="0" w:line="288" w:lineRule="auto"/>
            </w:pPr>
            <w:r/>
            <w:r>
              <w:rPr>
                <w:rFonts w:ascii="游ゴシック" w:hAnsi="游ゴシック" w:eastAsia="游ゴシック"/>
                <w:b w:val="0"/>
                <w:color w:val="23301F"/>
                <w:sz w:val="19"/>
              </w:rPr>
              <w:t>設問の「筆者が何を感じ、何に気づいたか」に沿って書き出せている。立場も「一部賛成・一部反対」と分けて示せている。ただし筆者も「丁寧な言葉や敬語は大切」「初対面では注意が必要」と書いており、どこが筆者と違うのかがはっきりしない。</w:t>
            </w:r>
          </w:p>
        </w:tc>
      </w:tr>
      <w:tr>
        <w:tc>
          <w:tcPr>
            <w:tcW w:type="dxa" w:w="2154"/>
            <w:vAlign w:val="center"/>
          </w:tcPr>
          <w:p>
            <w:pPr>
              <w:spacing w:after="0" w:line="288" w:lineRule="auto"/>
            </w:pPr>
            <w:r/>
            <w:r>
              <w:rPr>
                <w:rFonts w:ascii="游ゴシック" w:hAnsi="游ゴシック" w:eastAsia="游ゴシック"/>
                <w:b/>
                <w:color w:val="17321A"/>
                <w:sz w:val="19"/>
              </w:rPr>
              <w:t>構成・論理</w:t>
            </w:r>
          </w:p>
        </w:tc>
        <w:tc>
          <w:tcPr>
            <w:tcW w:type="dxa" w:w="1134"/>
            <w:vAlign w:val="center"/>
          </w:tcPr>
          <w:p>
            <w:pPr>
              <w:spacing w:after="0" w:line="288" w:lineRule="auto"/>
              <w:jc w:val="center"/>
            </w:pPr>
            <w:r/>
            <w:r>
              <w:rPr>
                <w:rFonts w:ascii="游ゴシック" w:hAnsi="游ゴシック" w:eastAsia="游ゴシック"/>
                <w:b/>
                <w:color w:val="D9782D"/>
                <w:sz w:val="22"/>
              </w:rPr>
              <w:t>12 / 20</w:t>
            </w:r>
          </w:p>
        </w:tc>
        <w:tc>
          <w:tcPr>
            <w:tcW w:type="dxa" w:w="6350"/>
            <w:vAlign w:val="center"/>
          </w:tcPr>
          <w:p>
            <w:pPr>
              <w:spacing w:after="0" w:line="288" w:lineRule="auto"/>
            </w:pPr>
            <w:r/>
            <w:r>
              <w:rPr>
                <w:rFonts w:ascii="游ゴシック" w:hAnsi="游ゴシック" w:eastAsia="游ゴシック"/>
                <w:b w:val="0"/>
                <w:color w:val="23301F"/>
                <w:sz w:val="19"/>
              </w:rPr>
              <w:t>要約→立場→理由の流れは良い。後半が切れているため結論は未確認。</w:t>
            </w:r>
          </w:p>
        </w:tc>
      </w:tr>
      <w:tr>
        <w:tc>
          <w:tcPr>
            <w:tcW w:type="dxa" w:w="2154"/>
            <w:vAlign w:val="center"/>
          </w:tcPr>
          <w:p>
            <w:pPr>
              <w:spacing w:after="0" w:line="288" w:lineRule="auto"/>
            </w:pPr>
            <w:r/>
            <w:r>
              <w:rPr>
                <w:rFonts w:ascii="游ゴシック" w:hAnsi="游ゴシック" w:eastAsia="游ゴシック"/>
                <w:b/>
                <w:color w:val="17321A"/>
                <w:sz w:val="19"/>
              </w:rPr>
              <w:t>根拠・具体性</w:t>
            </w:r>
          </w:p>
        </w:tc>
        <w:tc>
          <w:tcPr>
            <w:tcW w:type="dxa" w:w="1134"/>
            <w:vAlign w:val="center"/>
          </w:tcPr>
          <w:p>
            <w:pPr>
              <w:spacing w:after="0" w:line="288" w:lineRule="auto"/>
              <w:jc w:val="center"/>
            </w:pPr>
            <w:r/>
            <w:r>
              <w:rPr>
                <w:rFonts w:ascii="游ゴシック" w:hAnsi="游ゴシック" w:eastAsia="游ゴシック"/>
                <w:b/>
                <w:color w:val="D9782D"/>
                <w:sz w:val="22"/>
              </w:rPr>
              <w:t>11 / 20</w:t>
            </w:r>
          </w:p>
        </w:tc>
        <w:tc>
          <w:tcPr>
            <w:tcW w:type="dxa" w:w="6350"/>
            <w:vAlign w:val="center"/>
          </w:tcPr>
          <w:p>
            <w:pPr>
              <w:spacing w:after="0" w:line="288" w:lineRule="auto"/>
            </w:pPr>
            <w:r/>
            <w:r>
              <w:rPr>
                <w:rFonts w:ascii="游ゴシック" w:hAnsi="游ゴシック" w:eastAsia="游ゴシック"/>
                <w:b w:val="0"/>
                <w:color w:val="23301F"/>
                <w:sz w:val="19"/>
              </w:rPr>
              <w:t>「初対面の相手に話しかける際」と具体的な場面に入ろうとしている点は良い（途中まで）。</w:t>
            </w:r>
          </w:p>
        </w:tc>
      </w:tr>
      <w:tr>
        <w:tc>
          <w:tcPr>
            <w:tcW w:type="dxa" w:w="2154"/>
            <w:vAlign w:val="center"/>
          </w:tcPr>
          <w:p>
            <w:pPr>
              <w:spacing w:after="0" w:line="288" w:lineRule="auto"/>
            </w:pPr>
            <w:r/>
            <w:r>
              <w:rPr>
                <w:rFonts w:ascii="游ゴシック" w:hAnsi="游ゴシック" w:eastAsia="游ゴシック"/>
                <w:b/>
                <w:color w:val="17321A"/>
                <w:sz w:val="19"/>
              </w:rPr>
              <w:t>学部・アドミッションポリシーとの適合</w:t>
            </w:r>
          </w:p>
        </w:tc>
        <w:tc>
          <w:tcPr>
            <w:tcW w:type="dxa" w:w="1134"/>
            <w:vAlign w:val="center"/>
          </w:tcPr>
          <w:p>
            <w:pPr>
              <w:spacing w:after="0" w:line="288" w:lineRule="auto"/>
              <w:jc w:val="center"/>
            </w:pPr>
            <w:r/>
            <w:r>
              <w:rPr>
                <w:rFonts w:ascii="游ゴシック" w:hAnsi="游ゴシック" w:eastAsia="游ゴシック"/>
                <w:b/>
                <w:color w:val="D9782D"/>
                <w:sz w:val="22"/>
              </w:rPr>
              <w:t>9 / 20</w:t>
            </w:r>
          </w:p>
        </w:tc>
        <w:tc>
          <w:tcPr>
            <w:tcW w:type="dxa" w:w="6350"/>
            <w:vAlign w:val="center"/>
          </w:tcPr>
          <w:p>
            <w:pPr>
              <w:spacing w:after="0" w:line="288" w:lineRule="auto"/>
            </w:pPr>
            <w:r/>
            <w:r>
              <w:rPr>
                <w:rFonts w:ascii="游ゴシック" w:hAnsi="游ゴシック" w:eastAsia="游ゴシック"/>
                <w:b w:val="0"/>
                <w:color w:val="23301F"/>
                <w:sz w:val="19"/>
              </w:rPr>
              <w:t>言葉遣いは教育で必ず扱うテーマ。教員として子どもに何を伝えたいかへの言及がない。</w:t>
            </w:r>
          </w:p>
        </w:tc>
      </w:tr>
      <w:tr>
        <w:tc>
          <w:tcPr>
            <w:tcW w:type="dxa" w:w="2154"/>
            <w:vAlign w:val="center"/>
          </w:tcPr>
          <w:p>
            <w:pPr>
              <w:spacing w:after="0" w:line="288" w:lineRule="auto"/>
            </w:pPr>
            <w:r/>
            <w:r>
              <w:rPr>
                <w:rFonts w:ascii="游ゴシック" w:hAnsi="游ゴシック" w:eastAsia="游ゴシック"/>
                <w:b/>
                <w:color w:val="17321A"/>
                <w:sz w:val="19"/>
              </w:rPr>
              <w:t>表現・表記</w:t>
            </w:r>
          </w:p>
        </w:tc>
        <w:tc>
          <w:tcPr>
            <w:tcW w:type="dxa" w:w="1134"/>
            <w:vAlign w:val="center"/>
          </w:tcPr>
          <w:p>
            <w:pPr>
              <w:spacing w:after="0" w:line="288" w:lineRule="auto"/>
              <w:jc w:val="center"/>
            </w:pPr>
            <w:r/>
            <w:r>
              <w:rPr>
                <w:rFonts w:ascii="游ゴシック" w:hAnsi="游ゴシック" w:eastAsia="游ゴシック"/>
                <w:b/>
                <w:color w:val="D9782D"/>
                <w:sz w:val="22"/>
              </w:rPr>
              <w:t>9 / 20</w:t>
            </w:r>
          </w:p>
        </w:tc>
        <w:tc>
          <w:tcPr>
            <w:tcW w:type="dxa" w:w="6350"/>
            <w:vAlign w:val="center"/>
          </w:tcPr>
          <w:p>
            <w:pPr>
              <w:spacing w:after="0" w:line="288" w:lineRule="auto"/>
            </w:pPr>
            <w:r/>
            <w:r>
              <w:rPr>
                <w:rFonts w:ascii="游ゴシック" w:hAnsi="游ゴシック" w:eastAsia="游ゴシック"/>
                <w:b w:val="0"/>
                <w:color w:val="23301F"/>
                <w:sz w:val="19"/>
              </w:rPr>
              <w:t>「違和感を覚えたことを感じた」は重複表現。「言葉使い」は「言葉遣い」。「敬語ができていれば」は「敬語が使えれば」。字数は332字（後半未確認）。</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総評</w:t>
      </w:r>
    </w:p>
    <w:p>
      <w:pPr>
        <w:spacing w:after="80" w:before="0" w:line="300" w:lineRule="auto"/>
      </w:pPr>
      <w:r>
        <w:rPr>
          <w:rFonts w:ascii="游ゴシック" w:hAnsi="游ゴシック" w:eastAsia="游ゴシック"/>
          <w:b w:val="0"/>
          <w:color w:val="23301F"/>
          <w:sz w:val="21"/>
        </w:rPr>
        <w:t>【前提】設問文と字数（600字）は大学公式の過去問で確認した。答案はページの途中で切れており、後半は未確認。書かれている部分だけで評価した（字数の評価は暫定）。筆者の主張に対して「敬語が大切な点は賛成、気持ちが何より大切な点は反対」と立場を分けて示した点は、よく考えている証拠で良い。ただし反対の理由が「人間として見られない」と言い過ぎになっている。「言葉を通してしか気持ちは伝わらない」のように理由を落ち着いた形で示し、表現の重複や誤字を直せば、説得力のある答案になる。</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良かったところ</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筆者の主張に「一部賛成・一部反対」と、自分の立場を丁寧に分けて示せている</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理由を「なぜなら」「また」と二つ挙げ、整理して書けている</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初対面の場面という具体例に入ろうとしている</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直すと伸びるところ</w:t>
      </w:r>
    </w:p>
    <w:p>
      <w:pPr>
        <w:spacing w:after="20" w:before="60" w:line="300" w:lineRule="auto"/>
      </w:pPr>
      <w:r>
        <w:rPr>
          <w:rFonts w:ascii="游ゴシック" w:hAnsi="游ゴシック" w:eastAsia="游ゴシック"/>
          <w:b/>
          <w:color w:val="17321A"/>
          <w:sz w:val="21"/>
        </w:rPr>
        <w:t>1. 反対の理由を言い過ぎない形にする</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「人間として見られない、おかしいと思われてしまうと思うからだ。」</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極端な表現は説得力を下げる。「相手は言葉を通してしか気持ちを受け取れないため、言葉遣いが乱れていると思いやりも伝わらない」のように、理由の筋道を示す。</w:t>
      </w:r>
    </w:p>
    <w:p>
      <w:pPr>
        <w:spacing w:after="20" w:before="60" w:line="300" w:lineRule="auto"/>
      </w:pPr>
      <w:r>
        <w:rPr>
          <w:rFonts w:ascii="游ゴシック" w:hAnsi="游ゴシック" w:eastAsia="游ゴシック"/>
          <w:b/>
          <w:color w:val="17321A"/>
          <w:sz w:val="21"/>
        </w:rPr>
        <w:t>2. 「感じた・気づいた」を筆者を主語にして書く</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「違和感を覚えたことを感じた。」</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設問の「何を感じ、何に気づいたか」に合わせた書き出しは良い。ただ「覚えたことを感じた」は重複している。「筆者は、〜というメッセージに違和感を覚えた。そして、〜が何より大切だと気づいた」と、筆者を主語にして書く。</w:t>
      </w:r>
    </w:p>
    <w:p>
      <w:pPr>
        <w:spacing w:after="20" w:before="60" w:line="300" w:lineRule="auto"/>
      </w:pPr>
      <w:r>
        <w:rPr>
          <w:rFonts w:ascii="游ゴシック" w:hAnsi="游ゴシック" w:eastAsia="游ゴシック"/>
          <w:b/>
          <w:color w:val="17321A"/>
          <w:sz w:val="21"/>
        </w:rPr>
        <w:t>3. 自分の立場を一文で言い切る</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「しかし、何よりも大切なのは相手を思いやる気持ち、誠実な気持ちという部分には反対である。」</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反対したうえで自分はどう考えるのかを書く。例：「言葉遣いと気持ちは同じくらい大切だと考える」。</w:t>
      </w:r>
    </w:p>
    <w:p>
      <w:pPr>
        <w:spacing w:after="20" w:before="60" w:line="300" w:lineRule="auto"/>
      </w:pPr>
      <w:r>
        <w:rPr>
          <w:rFonts w:ascii="游ゴシック" w:hAnsi="游ゴシック" w:eastAsia="游ゴシック"/>
          <w:b/>
          <w:color w:val="17321A"/>
          <w:sz w:val="21"/>
        </w:rPr>
        <w:t>4. 筆者との違いをはっきりさせる</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筆者も敬語の大切さや初対面での注意は認めている。あなたが反対しているのは「気持ちが何よりも大切」という順位づけの部分であることを、「言葉遣いと気持ちは同じくらい大切だ」のように一文で明確にする。</w:t>
      </w:r>
    </w:p>
    <w:p>
      <w:pPr>
        <w:spacing w:after="20" w:before="60" w:line="300" w:lineRule="auto"/>
      </w:pPr>
      <w:r>
        <w:rPr>
          <w:rFonts w:ascii="游ゴシック" w:hAnsi="游ゴシック" w:eastAsia="游ゴシック"/>
          <w:b/>
          <w:color w:val="17321A"/>
          <w:sz w:val="21"/>
        </w:rPr>
        <w:t>5. 教員としての視点で締める</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結論で、子どもたちに言葉と気持ちの両方の大切さを伝えたい、など教育学科での学びにつなげる。</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あなたの答案（332字）</w:t>
      </w:r>
    </w:p>
    <w:tbl>
      <w:tblPr>
        <w:tblW w:w="9639" w:type="dxa"/>
        <w:jc w:val="center"/>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360"/>
        <w:gridCol w:w="8278"/>
      </w:tblGrid>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第1段落</w:t>
            </w:r>
          </w:p>
          <w:p>
            <w:pPr>
              <w:spacing w:after="0" w:line="288" w:lineRule="auto"/>
            </w:pPr>
            <w:r>
              <w:rPr>
                <w:rFonts w:ascii="游ゴシック" w:hAnsi="游ゴシック" w:eastAsia="游ゴシック"/>
                <w:b/>
                <w:color w:val="2C5F2D"/>
                <w:sz w:val="19"/>
              </w:rPr>
              <w:t>113字</w:t>
            </w:r>
          </w:p>
        </w:tc>
        <w:tc>
          <w:tcPr>
            <w:tcW w:type="dxa" w:w="8277"/>
            <w:vAlign w:val="center"/>
          </w:tcPr>
          <w:p>
            <w:pPr>
              <w:spacing w:after="0" w:line="288" w:lineRule="auto"/>
            </w:pPr>
            <w:r/>
            <w:r>
              <w:rPr>
                <w:rFonts w:ascii="游明朝" w:hAnsi="游明朝" w:eastAsia="游明朝"/>
                <w:b w:val="0"/>
                <w:color w:val="23301F"/>
                <w:sz w:val="21"/>
              </w:rPr>
              <w:t>「Not at allやNo problemを使わないほうがいい」というメッセージに違和感を覚えたことを感じた。そして、丁寧な言葉や敬語は大切だが、何よりも大切なのは相手を思いやる気持ち、誠実な気持ちを持っているかどうかに気づいた。</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第2段落</w:t>
            </w:r>
          </w:p>
          <w:p>
            <w:pPr>
              <w:spacing w:after="0" w:line="288" w:lineRule="auto"/>
            </w:pPr>
            <w:r>
              <w:rPr>
                <w:rFonts w:ascii="游ゴシック" w:hAnsi="游ゴシック" w:eastAsia="游ゴシック"/>
                <w:b/>
                <w:color w:val="2C5F2D"/>
                <w:sz w:val="19"/>
              </w:rPr>
              <w:t>73字</w:t>
            </w:r>
          </w:p>
        </w:tc>
        <w:tc>
          <w:tcPr>
            <w:tcW w:type="dxa" w:w="8277"/>
            <w:vAlign w:val="center"/>
          </w:tcPr>
          <w:p>
            <w:pPr>
              <w:spacing w:after="0" w:line="288" w:lineRule="auto"/>
            </w:pPr>
            <w:r/>
            <w:r>
              <w:rPr>
                <w:rFonts w:ascii="游明朝" w:hAnsi="游明朝" w:eastAsia="游明朝"/>
                <w:b w:val="0"/>
                <w:color w:val="23301F"/>
                <w:sz w:val="21"/>
              </w:rPr>
              <w:t>私は、筆者の丁寧な言葉や敬語は大切という部分には賛成である。しかし、何よりも大切なのは相手を思いやる気持ち、誠実な気持ちという部分には反対である。</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第3段落</w:t>
            </w:r>
          </w:p>
          <w:p>
            <w:pPr>
              <w:spacing w:after="0" w:line="288" w:lineRule="auto"/>
            </w:pPr>
            <w:r>
              <w:rPr>
                <w:rFonts w:ascii="游ゴシック" w:hAnsi="游ゴシック" w:eastAsia="游ゴシック"/>
                <w:b/>
                <w:color w:val="2C5F2D"/>
                <w:sz w:val="19"/>
              </w:rPr>
              <w:t>146字</w:t>
            </w:r>
          </w:p>
        </w:tc>
        <w:tc>
          <w:tcPr>
            <w:tcW w:type="dxa" w:w="8277"/>
            <w:vAlign w:val="center"/>
          </w:tcPr>
          <w:p>
            <w:pPr>
              <w:spacing w:after="0" w:line="288" w:lineRule="auto"/>
            </w:pPr>
            <w:r/>
            <w:r>
              <w:rPr>
                <w:rFonts w:ascii="游明朝" w:hAnsi="游明朝" w:eastAsia="游明朝"/>
                <w:b w:val="0"/>
                <w:color w:val="23301F"/>
                <w:sz w:val="21"/>
              </w:rPr>
              <w:t>なぜなら、そのような気持ちがあってもきちんとした言葉使いができていないと、人間として見られない、おかしいと思われてしまうと思うからだ。また、丁寧な言葉や敬語ができていれば、最低限度さまざまな人達と関わることができると思うからである。私は、初対面の相手に話しかける際にいきなり〔以下、続きなし〕</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表記・表現の直し</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3402"/>
        <w:gridCol w:w="3402"/>
        <w:gridCol w:w="2835"/>
      </w:tblGrid>
      <w:tr>
        <w:tc>
          <w:tcPr>
            <w:tcW w:type="dxa" w:w="3402"/>
            <w:shd w:val="clear" w:color="auto" w:fill="2C5F2D"/>
            <w:vAlign w:val="center"/>
          </w:tcPr>
          <w:p>
            <w:pPr>
              <w:spacing w:after="0" w:line="288" w:lineRule="auto"/>
              <w:jc w:val="center"/>
            </w:pPr>
            <w:r/>
            <w:r>
              <w:rPr>
                <w:rFonts w:ascii="游ゴシック" w:hAnsi="游ゴシック" w:eastAsia="游ゴシック"/>
                <w:b/>
                <w:color w:val="FFFFFF"/>
                <w:sz w:val="19"/>
              </w:rPr>
              <w:t>答案</w:t>
            </w:r>
          </w:p>
        </w:tc>
        <w:tc>
          <w:tcPr>
            <w:tcW w:type="dxa" w:w="3402"/>
            <w:shd w:val="clear" w:color="auto" w:fill="2C5F2D"/>
            <w:vAlign w:val="center"/>
          </w:tcPr>
          <w:p>
            <w:pPr>
              <w:spacing w:after="0" w:line="288" w:lineRule="auto"/>
              <w:jc w:val="center"/>
            </w:pPr>
            <w:r/>
            <w:r>
              <w:rPr>
                <w:rFonts w:ascii="游ゴシック" w:hAnsi="游ゴシック" w:eastAsia="游ゴシック"/>
                <w:b/>
                <w:color w:val="FFFFFF"/>
                <w:sz w:val="19"/>
              </w:rPr>
              <w:t>直し</w:t>
            </w:r>
          </w:p>
        </w:tc>
        <w:tc>
          <w:tcPr>
            <w:tcW w:type="dxa" w:w="2835"/>
            <w:shd w:val="clear" w:color="auto" w:fill="2C5F2D"/>
            <w:vAlign w:val="center"/>
          </w:tcPr>
          <w:p>
            <w:pPr>
              <w:spacing w:after="0" w:line="288" w:lineRule="auto"/>
              <w:jc w:val="center"/>
            </w:pPr>
            <w:r/>
            <w:r>
              <w:rPr>
                <w:rFonts w:ascii="游ゴシック" w:hAnsi="游ゴシック" w:eastAsia="游ゴシック"/>
                <w:b/>
                <w:color w:val="FFFFFF"/>
                <w:sz w:val="19"/>
              </w:rPr>
              <w:t>理由</w:t>
            </w:r>
          </w:p>
        </w:tc>
      </w:tr>
      <w:tr>
        <w:tc>
          <w:tcPr>
            <w:tcW w:type="dxa" w:w="3402"/>
            <w:vAlign w:val="center"/>
          </w:tcPr>
          <w:p>
            <w:pPr>
              <w:spacing w:after="0" w:line="288" w:lineRule="auto"/>
            </w:pPr>
            <w:r/>
            <w:r>
              <w:rPr>
                <w:rFonts w:ascii="游明朝" w:hAnsi="游明朝" w:eastAsia="游明朝"/>
                <w:b w:val="0"/>
                <w:color w:val="23301F"/>
                <w:sz w:val="19"/>
              </w:rPr>
              <w:t>違和感を覚えたことを感じた。</w:t>
            </w:r>
          </w:p>
        </w:tc>
        <w:tc>
          <w:tcPr>
            <w:tcW w:type="dxa" w:w="3402"/>
            <w:vAlign w:val="center"/>
          </w:tcPr>
          <w:p>
            <w:pPr>
              <w:spacing w:after="0" w:line="288" w:lineRule="auto"/>
            </w:pPr>
            <w:r/>
            <w:r>
              <w:rPr>
                <w:rFonts w:ascii="游明朝" w:hAnsi="游明朝" w:eastAsia="游明朝"/>
                <w:b/>
                <w:color w:val="2C5F2D"/>
                <w:sz w:val="19"/>
              </w:rPr>
              <w:t>（筆者は〜というメッセージに）違和感を覚えた。</w:t>
            </w:r>
          </w:p>
        </w:tc>
        <w:tc>
          <w:tcPr>
            <w:tcW w:type="dxa" w:w="2835"/>
            <w:vAlign w:val="center"/>
          </w:tcPr>
          <w:p>
            <w:pPr>
              <w:spacing w:after="0" w:line="288" w:lineRule="auto"/>
            </w:pPr>
            <w:r/>
            <w:r>
              <w:rPr>
                <w:rFonts w:ascii="游ゴシック" w:hAnsi="游ゴシック" w:eastAsia="游ゴシック"/>
                <w:b w:val="0"/>
                <w:color w:val="23301F"/>
                <w:sz w:val="18"/>
              </w:rPr>
              <w:t>「覚えた」と「感じた」の重複。筆者を主語にする</w:t>
            </w:r>
          </w:p>
        </w:tc>
      </w:tr>
      <w:tr>
        <w:tc>
          <w:tcPr>
            <w:tcW w:type="dxa" w:w="3402"/>
            <w:vAlign w:val="center"/>
          </w:tcPr>
          <w:p>
            <w:pPr>
              <w:spacing w:after="0" w:line="288" w:lineRule="auto"/>
            </w:pPr>
            <w:r/>
            <w:r>
              <w:rPr>
                <w:rFonts w:ascii="游明朝" w:hAnsi="游明朝" w:eastAsia="游明朝"/>
                <w:b w:val="0"/>
                <w:color w:val="23301F"/>
                <w:sz w:val="19"/>
              </w:rPr>
              <w:t>持っているかどうかに気づいた。</w:t>
            </w:r>
          </w:p>
        </w:tc>
        <w:tc>
          <w:tcPr>
            <w:tcW w:type="dxa" w:w="3402"/>
            <w:vAlign w:val="center"/>
          </w:tcPr>
          <w:p>
            <w:pPr>
              <w:spacing w:after="0" w:line="288" w:lineRule="auto"/>
            </w:pPr>
            <w:r/>
            <w:r>
              <w:rPr>
                <w:rFonts w:ascii="游明朝" w:hAnsi="游明朝" w:eastAsia="游明朝"/>
                <w:b/>
                <w:color w:val="2C5F2D"/>
                <w:sz w:val="19"/>
              </w:rPr>
              <w:t>持っているかどうかだと気づいた。</w:t>
            </w:r>
          </w:p>
        </w:tc>
        <w:tc>
          <w:tcPr>
            <w:tcW w:type="dxa" w:w="2835"/>
            <w:vAlign w:val="center"/>
          </w:tcPr>
          <w:p>
            <w:pPr>
              <w:spacing w:after="0" w:line="288" w:lineRule="auto"/>
            </w:pPr>
            <w:r/>
            <w:r>
              <w:rPr>
                <w:rFonts w:ascii="游ゴシック" w:hAnsi="游ゴシック" w:eastAsia="游ゴシック"/>
                <w:b w:val="0"/>
                <w:color w:val="23301F"/>
                <w:sz w:val="18"/>
              </w:rPr>
              <w:t>「〜かどうかに気づいた」より、気づいた内容をはっきり示す</w:t>
            </w:r>
          </w:p>
        </w:tc>
      </w:tr>
      <w:tr>
        <w:tc>
          <w:tcPr>
            <w:tcW w:type="dxa" w:w="3402"/>
            <w:vAlign w:val="center"/>
          </w:tcPr>
          <w:p>
            <w:pPr>
              <w:spacing w:after="0" w:line="288" w:lineRule="auto"/>
            </w:pPr>
            <w:r/>
            <w:r>
              <w:rPr>
                <w:rFonts w:ascii="游明朝" w:hAnsi="游明朝" w:eastAsia="游明朝"/>
                <w:b w:val="0"/>
                <w:color w:val="23301F"/>
                <w:sz w:val="19"/>
              </w:rPr>
              <w:t>言葉使い</w:t>
            </w:r>
          </w:p>
        </w:tc>
        <w:tc>
          <w:tcPr>
            <w:tcW w:type="dxa" w:w="3402"/>
            <w:vAlign w:val="center"/>
          </w:tcPr>
          <w:p>
            <w:pPr>
              <w:spacing w:after="0" w:line="288" w:lineRule="auto"/>
            </w:pPr>
            <w:r/>
            <w:r>
              <w:rPr>
                <w:rFonts w:ascii="游明朝" w:hAnsi="游明朝" w:eastAsia="游明朝"/>
                <w:b/>
                <w:color w:val="2C5F2D"/>
                <w:sz w:val="19"/>
              </w:rPr>
              <w:t>言葉遣い</w:t>
            </w:r>
          </w:p>
        </w:tc>
        <w:tc>
          <w:tcPr>
            <w:tcW w:type="dxa" w:w="2835"/>
            <w:vAlign w:val="center"/>
          </w:tcPr>
          <w:p>
            <w:pPr>
              <w:spacing w:after="0" w:line="288" w:lineRule="auto"/>
            </w:pPr>
            <w:r/>
            <w:r>
              <w:rPr>
                <w:rFonts w:ascii="游ゴシック" w:hAnsi="游ゴシック" w:eastAsia="游ゴシック"/>
                <w:b w:val="0"/>
                <w:color w:val="23301F"/>
                <w:sz w:val="18"/>
              </w:rPr>
              <w:t>漢字の誤り</w:t>
            </w:r>
          </w:p>
        </w:tc>
      </w:tr>
      <w:tr>
        <w:tc>
          <w:tcPr>
            <w:tcW w:type="dxa" w:w="3402"/>
            <w:vAlign w:val="center"/>
          </w:tcPr>
          <w:p>
            <w:pPr>
              <w:spacing w:after="0" w:line="288" w:lineRule="auto"/>
            </w:pPr>
            <w:r/>
            <w:r>
              <w:rPr>
                <w:rFonts w:ascii="游明朝" w:hAnsi="游明朝" w:eastAsia="游明朝"/>
                <w:b w:val="0"/>
                <w:color w:val="23301F"/>
                <w:sz w:val="19"/>
              </w:rPr>
              <w:t>人間として見られない、おかしいと思われてしまうと思うからだ。</w:t>
            </w:r>
          </w:p>
        </w:tc>
        <w:tc>
          <w:tcPr>
            <w:tcW w:type="dxa" w:w="3402"/>
            <w:vAlign w:val="center"/>
          </w:tcPr>
          <w:p>
            <w:pPr>
              <w:spacing w:after="0" w:line="288" w:lineRule="auto"/>
            </w:pPr>
            <w:r/>
            <w:r>
              <w:rPr>
                <w:rFonts w:ascii="游明朝" w:hAnsi="游明朝" w:eastAsia="游明朝"/>
                <w:b/>
                <w:color w:val="2C5F2D"/>
                <w:sz w:val="19"/>
              </w:rPr>
              <w:t>失礼な人だと受け取られてしまうからである。</w:t>
            </w:r>
          </w:p>
        </w:tc>
        <w:tc>
          <w:tcPr>
            <w:tcW w:type="dxa" w:w="2835"/>
            <w:vAlign w:val="center"/>
          </w:tcPr>
          <w:p>
            <w:pPr>
              <w:spacing w:after="0" w:line="288" w:lineRule="auto"/>
            </w:pPr>
            <w:r/>
            <w:r>
              <w:rPr>
                <w:rFonts w:ascii="游ゴシック" w:hAnsi="游ゴシック" w:eastAsia="游ゴシック"/>
                <w:b w:val="0"/>
                <w:color w:val="23301F"/>
                <w:sz w:val="18"/>
              </w:rPr>
              <w:t>極端な表現と「思う」の重なりを避ける</w:t>
            </w:r>
          </w:p>
        </w:tc>
      </w:tr>
      <w:tr>
        <w:tc>
          <w:tcPr>
            <w:tcW w:type="dxa" w:w="3402"/>
            <w:vAlign w:val="center"/>
          </w:tcPr>
          <w:p>
            <w:pPr>
              <w:spacing w:after="0" w:line="288" w:lineRule="auto"/>
            </w:pPr>
            <w:r/>
            <w:r>
              <w:rPr>
                <w:rFonts w:ascii="游明朝" w:hAnsi="游明朝" w:eastAsia="游明朝"/>
                <w:b w:val="0"/>
                <w:color w:val="23301F"/>
                <w:sz w:val="19"/>
              </w:rPr>
              <w:t>丁寧な言葉や敬語ができていれば</w:t>
            </w:r>
          </w:p>
        </w:tc>
        <w:tc>
          <w:tcPr>
            <w:tcW w:type="dxa" w:w="3402"/>
            <w:vAlign w:val="center"/>
          </w:tcPr>
          <w:p>
            <w:pPr>
              <w:spacing w:after="0" w:line="288" w:lineRule="auto"/>
            </w:pPr>
            <w:r/>
            <w:r>
              <w:rPr>
                <w:rFonts w:ascii="游明朝" w:hAnsi="游明朝" w:eastAsia="游明朝"/>
                <w:b/>
                <w:color w:val="2C5F2D"/>
                <w:sz w:val="19"/>
              </w:rPr>
              <w:t>丁寧な言葉や敬語が使えれば</w:t>
            </w:r>
          </w:p>
        </w:tc>
        <w:tc>
          <w:tcPr>
            <w:tcW w:type="dxa" w:w="2835"/>
            <w:vAlign w:val="center"/>
          </w:tcPr>
          <w:p>
            <w:pPr>
              <w:spacing w:after="0" w:line="288" w:lineRule="auto"/>
            </w:pPr>
            <w:r/>
            <w:r>
              <w:rPr>
                <w:rFonts w:ascii="游ゴシック" w:hAnsi="游ゴシック" w:eastAsia="游ゴシック"/>
                <w:b w:val="0"/>
                <w:color w:val="23301F"/>
                <w:sz w:val="18"/>
              </w:rPr>
              <w:t>「敬語ができる」は不自然</w:t>
            </w:r>
          </w:p>
        </w:tc>
      </w:tr>
      <w:tr>
        <w:tc>
          <w:tcPr>
            <w:tcW w:type="dxa" w:w="3402"/>
            <w:vAlign w:val="center"/>
          </w:tcPr>
          <w:p>
            <w:pPr>
              <w:spacing w:after="0" w:line="288" w:lineRule="auto"/>
            </w:pPr>
            <w:r/>
            <w:r>
              <w:rPr>
                <w:rFonts w:ascii="游明朝" w:hAnsi="游明朝" w:eastAsia="游明朝"/>
                <w:b w:val="0"/>
                <w:color w:val="23301F"/>
                <w:sz w:val="19"/>
              </w:rPr>
              <w:t>最低限度さまざまな人達と</w:t>
            </w:r>
          </w:p>
        </w:tc>
        <w:tc>
          <w:tcPr>
            <w:tcW w:type="dxa" w:w="3402"/>
            <w:vAlign w:val="center"/>
          </w:tcPr>
          <w:p>
            <w:pPr>
              <w:spacing w:after="0" w:line="288" w:lineRule="auto"/>
            </w:pPr>
            <w:r/>
            <w:r>
              <w:rPr>
                <w:rFonts w:ascii="游明朝" w:hAnsi="游明朝" w:eastAsia="游明朝"/>
                <w:b/>
                <w:color w:val="2C5F2D"/>
                <w:sz w:val="19"/>
              </w:rPr>
              <w:t>さまざまな人と最低限の信頼関係を築き</w:t>
            </w:r>
          </w:p>
        </w:tc>
        <w:tc>
          <w:tcPr>
            <w:tcW w:type="dxa" w:w="2835"/>
            <w:vAlign w:val="center"/>
          </w:tcPr>
          <w:p>
            <w:pPr>
              <w:spacing w:after="0" w:line="288" w:lineRule="auto"/>
            </w:pPr>
            <w:r/>
            <w:r>
              <w:rPr>
                <w:rFonts w:ascii="游ゴシック" w:hAnsi="游ゴシック" w:eastAsia="游ゴシック"/>
                <w:b w:val="0"/>
                <w:color w:val="23301F"/>
                <w:sz w:val="18"/>
              </w:rPr>
              <w:t>語順と言葉の選び方</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構成の見直し（Q3 段落メモ）</w:t>
      </w:r>
    </w:p>
    <w:p>
      <w:pPr>
        <w:spacing w:after="80" w:before="0" w:line="300" w:lineRule="auto"/>
      </w:pPr>
      <w:r>
        <w:rPr>
          <w:rFonts w:ascii="游ゴシック" w:hAnsi="游ゴシック" w:eastAsia="游ゴシック"/>
          <w:b w:val="0"/>
          <w:color w:val="5B6B54"/>
          <w:sz w:val="19"/>
        </w:rPr>
        <w:t>左があなたの答案の骨組み、右がおすすめの骨組み。書く前にこのメモを作れば、構成は安定する。</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4819"/>
        <w:gridCol w:w="4819"/>
      </w:tblGrid>
      <w:tr>
        <w:tc>
          <w:tcPr>
            <w:tcW w:type="dxa" w:w="4819"/>
            <w:shd w:val="clear" w:color="auto" w:fill="2C5F2D"/>
            <w:vAlign w:val="center"/>
          </w:tcPr>
          <w:p>
            <w:pPr>
              <w:spacing w:after="0" w:line="288" w:lineRule="auto"/>
              <w:jc w:val="center"/>
            </w:pPr>
            <w:r/>
            <w:r>
              <w:rPr>
                <w:rFonts w:ascii="游ゴシック" w:hAnsi="游ゴシック" w:eastAsia="游ゴシック"/>
                <w:b/>
                <w:color w:val="FFFFFF"/>
                <w:sz w:val="19"/>
              </w:rPr>
              <w:t>あなたの答案</w:t>
            </w:r>
          </w:p>
        </w:tc>
        <w:tc>
          <w:tcPr>
            <w:tcW w:type="dxa" w:w="4819"/>
            <w:shd w:val="clear" w:color="auto" w:fill="D9782D"/>
            <w:vAlign w:val="center"/>
          </w:tcPr>
          <w:p>
            <w:pPr>
              <w:spacing w:after="0" w:line="288" w:lineRule="auto"/>
              <w:jc w:val="center"/>
            </w:pPr>
            <w:r/>
            <w:r>
              <w:rPr>
                <w:rFonts w:ascii="游ゴシック" w:hAnsi="游ゴシック" w:eastAsia="游ゴシック"/>
                <w:b/>
                <w:color w:val="FFFFFF"/>
                <w:sz w:val="19"/>
              </w:rPr>
              <w:t>おすすめの構成メモ</w:t>
            </w:r>
          </w:p>
        </w:tc>
      </w:tr>
      <w:tr>
        <w:tc>
          <w:tcPr>
            <w:tcW w:type="dxa" w:w="4819"/>
            <w:vAlign w:val="center"/>
          </w:tcPr>
          <w:p>
            <w:pPr>
              <w:spacing w:after="0" w:line="288" w:lineRule="auto"/>
            </w:pPr>
            <w:r/>
            <w:r>
              <w:rPr>
                <w:rFonts w:ascii="游ゴシック" w:hAnsi="游ゴシック" w:eastAsia="游ゴシック"/>
                <w:b w:val="0"/>
                <w:color w:val="23301F"/>
                <w:sz w:val="19"/>
              </w:rPr>
              <w:t>【第1段落】要約：Not at all 等の助言に違和感／気持ちが何より大切</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【序論】要約：助言への違和感 → 気持ちが何より大切（筆者の主張）</w:t>
            </w:r>
          </w:p>
        </w:tc>
      </w:tr>
      <w:tr>
        <w:tc>
          <w:tcPr>
            <w:tcW w:type="dxa" w:w="4819"/>
            <w:vAlign w:val="center"/>
          </w:tcPr>
          <w:p>
            <w:pPr>
              <w:spacing w:after="0" w:line="288" w:lineRule="auto"/>
            </w:pPr>
            <w:r/>
            <w:r>
              <w:rPr>
                <w:rFonts w:ascii="游ゴシック" w:hAnsi="游ゴシック" w:eastAsia="游ゴシック"/>
                <w:b w:val="0"/>
                <w:color w:val="23301F"/>
                <w:sz w:val="19"/>
              </w:rPr>
              <w:t>【第2段落】立場：敬語が大切 → 賛成／気持ちが何より → 反対</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【主張】敬語は賛成／気持ちが何よりは反対 → 言葉遣いと気持ちは同じくらい大切</w:t>
            </w:r>
          </w:p>
        </w:tc>
      </w:tr>
      <w:tr>
        <w:tc>
          <w:tcPr>
            <w:tcW w:type="dxa" w:w="4819"/>
            <w:vAlign w:val="center"/>
          </w:tcPr>
          <w:p>
            <w:pPr>
              <w:spacing w:after="0" w:line="288" w:lineRule="auto"/>
            </w:pPr>
            <w:r/>
            <w:r>
              <w:rPr>
                <w:rFonts w:ascii="游ゴシック" w:hAnsi="游ゴシック" w:eastAsia="游ゴシック"/>
                <w:b w:val="0"/>
                <w:color w:val="23301F"/>
                <w:sz w:val="19"/>
              </w:rPr>
              <w:t>【第3段落】理由①：言葉遣いが悪いと人間として見られない／理由②：敬語で人と関われる／例：初対面（途中で終わり）</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【本論①】理由：気持ちは言葉を通してしか伝わらない／敬語で初対面でも信頼を築ける</w:t>
            </w:r>
          </w:p>
        </w:tc>
      </w:tr>
      <w:tr>
        <w:tc>
          <w:tcPr>
            <w:tcW w:type="dxa" w:w="4819"/>
          </w:tcP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【本論②】例：初対面にくだけた言葉 → 悪気がなくても相手は身構える</w:t>
            </w:r>
          </w:p>
        </w:tc>
      </w:tr>
      <w:tr>
        <w:tc>
          <w:tcPr>
            <w:tcW w:type="dxa" w:w="4819"/>
          </w:tcP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【結論】言葉遣いは思いやりを届ける手段 → 子どもに言葉と気持ちの両方を伝えられる教員に</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書き直し例（543字）</w:t>
      </w:r>
    </w:p>
    <w:p>
      <w:pPr>
        <w:spacing w:after="80" w:before="0" w:line="300" w:lineRule="auto"/>
      </w:pPr>
      <w:r>
        <w:rPr>
          <w:rFonts w:ascii="游ゴシック" w:hAnsi="游ゴシック" w:eastAsia="游ゴシック"/>
          <w:b w:val="0"/>
          <w:color w:val="5B6B54"/>
          <w:sz w:val="19"/>
        </w:rPr>
        <w:t>あなたの考えを生かしたまま直した一例。丸写しせず、どこが変わったかを比べて読むこと。</w:t>
      </w:r>
    </w:p>
    <w:tbl>
      <w:tblPr>
        <w:tblW w:w="9639" w:type="dxa"/>
        <w:jc w:val="center"/>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360"/>
        <w:gridCol w:w="8278"/>
      </w:tblGrid>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序論</w:t>
            </w:r>
          </w:p>
          <w:p>
            <w:pPr>
              <w:spacing w:after="0" w:line="288" w:lineRule="auto"/>
            </w:pPr>
            <w:r>
              <w:rPr>
                <w:rFonts w:ascii="游ゴシック" w:hAnsi="游ゴシック" w:eastAsia="游ゴシック"/>
                <w:b/>
                <w:color w:val="2C5F2D"/>
                <w:sz w:val="19"/>
              </w:rPr>
              <w:t>110字</w:t>
            </w:r>
          </w:p>
        </w:tc>
        <w:tc>
          <w:tcPr>
            <w:tcW w:type="dxa" w:w="8277"/>
            <w:vAlign w:val="center"/>
          </w:tcPr>
          <w:p>
            <w:pPr>
              <w:spacing w:after="0" w:line="288" w:lineRule="auto"/>
            </w:pPr>
            <w:r/>
            <w:r>
              <w:rPr>
                <w:rFonts w:ascii="游明朝" w:hAnsi="游明朝" w:eastAsia="游明朝"/>
                <w:b w:val="0"/>
                <w:color w:val="23301F"/>
                <w:sz w:val="21"/>
              </w:rPr>
              <w:t>筆者は、「Not at allやNo problemを使わないほうがいい」という助言に違和感を覚えた。そして、丁寧な言葉や敬語は大切だが、何よりも大切なのは、相手を思いやる気持ち、誠実な気持ちを持っているかどうかだと気づいた。</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主張</w:t>
            </w:r>
          </w:p>
          <w:p>
            <w:pPr>
              <w:spacing w:after="0" w:line="288" w:lineRule="auto"/>
            </w:pPr>
            <w:r>
              <w:rPr>
                <w:rFonts w:ascii="游ゴシック" w:hAnsi="游ゴシック" w:eastAsia="游ゴシック"/>
                <w:b/>
                <w:color w:val="2C5F2D"/>
                <w:sz w:val="19"/>
              </w:rPr>
              <w:t>76字</w:t>
            </w:r>
          </w:p>
        </w:tc>
        <w:tc>
          <w:tcPr>
            <w:tcW w:type="dxa" w:w="8277"/>
            <w:vAlign w:val="center"/>
          </w:tcPr>
          <w:p>
            <w:pPr>
              <w:spacing w:after="0" w:line="288" w:lineRule="auto"/>
            </w:pPr>
            <w:r/>
            <w:r>
              <w:rPr>
                <w:rFonts w:ascii="游明朝" w:hAnsi="游明朝" w:eastAsia="游明朝"/>
                <w:b w:val="0"/>
                <w:color w:val="23301F"/>
                <w:sz w:val="21"/>
              </w:rPr>
              <w:t>私は、丁寧な言葉や敬語が大切だという点には賛成である。しかし、気持ちが何よりも大切だという点には反対であり、言葉遣いと気持ちは同じくらい大切だと考える。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本論①</w:t>
            </w:r>
          </w:p>
          <w:p>
            <w:pPr>
              <w:spacing w:after="0" w:line="288" w:lineRule="auto"/>
            </w:pPr>
            <w:r>
              <w:rPr>
                <w:rFonts w:ascii="游ゴシック" w:hAnsi="游ゴシック" w:eastAsia="游ゴシック"/>
                <w:b/>
                <w:color w:val="2C5F2D"/>
                <w:sz w:val="19"/>
              </w:rPr>
              <w:t>141字</w:t>
            </w:r>
          </w:p>
        </w:tc>
        <w:tc>
          <w:tcPr>
            <w:tcW w:type="dxa" w:w="8277"/>
            <w:vAlign w:val="center"/>
          </w:tcPr>
          <w:p>
            <w:pPr>
              <w:spacing w:after="0" w:line="288" w:lineRule="auto"/>
            </w:pPr>
            <w:r/>
            <w:r>
              <w:rPr>
                <w:rFonts w:ascii="游明朝" w:hAnsi="游明朝" w:eastAsia="游明朝"/>
                <w:b w:val="0"/>
                <w:color w:val="23301F"/>
                <w:sz w:val="21"/>
              </w:rPr>
              <w:t>なぜなら、相手は心の中を直接見ることができず、言葉を通してしか気持ちを受け取れないからである。どれほど相手を思いやっていても、言葉遣いが乱暴であれば、失礼な人だと受け取られてしまう。また、丁寧な言葉や敬語を使えれば、初対面の人や立場の違う人とも、最低限の信頼関係を築くことができ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本論②</w:t>
            </w:r>
          </w:p>
          <w:p>
            <w:pPr>
              <w:spacing w:after="0" w:line="288" w:lineRule="auto"/>
            </w:pPr>
            <w:r>
              <w:rPr>
                <w:rFonts w:ascii="游ゴシック" w:hAnsi="游ゴシック" w:eastAsia="游ゴシック"/>
                <w:b/>
                <w:color w:val="2C5F2D"/>
                <w:sz w:val="19"/>
              </w:rPr>
              <w:t>123字</w:t>
            </w:r>
          </w:p>
        </w:tc>
        <w:tc>
          <w:tcPr>
            <w:tcW w:type="dxa" w:w="8277"/>
            <w:vAlign w:val="center"/>
          </w:tcPr>
          <w:p>
            <w:pPr>
              <w:spacing w:after="0" w:line="288" w:lineRule="auto"/>
            </w:pPr>
            <w:r/>
            <w:r>
              <w:rPr>
                <w:rFonts w:ascii="游明朝" w:hAnsi="游明朝" w:eastAsia="游明朝"/>
                <w:b w:val="0"/>
                <w:color w:val="23301F"/>
                <w:sz w:val="21"/>
              </w:rPr>
              <w:t>例えば、初対面の相手にいきなりくだけた言葉で話しかければ、こちらに悪気がなくても相手は身構えてしまう。気持ちを正しく伝えるためにこそ、ふさわしい言葉を選ぶ必要がある。丁寧な言葉は、相手を大切にしているという気持ちそのものを形にしたものだと言え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結論</w:t>
            </w:r>
          </w:p>
          <w:p>
            <w:pPr>
              <w:spacing w:after="0" w:line="288" w:lineRule="auto"/>
            </w:pPr>
            <w:r>
              <w:rPr>
                <w:rFonts w:ascii="游ゴシック" w:hAnsi="游ゴシック" w:eastAsia="游ゴシック"/>
                <w:b/>
                <w:color w:val="2C5F2D"/>
                <w:sz w:val="19"/>
              </w:rPr>
              <w:t>93字</w:t>
            </w:r>
          </w:p>
        </w:tc>
        <w:tc>
          <w:tcPr>
            <w:tcW w:type="dxa" w:w="8277"/>
            <w:vAlign w:val="center"/>
          </w:tcPr>
          <w:p>
            <w:pPr>
              <w:spacing w:after="0" w:line="288" w:lineRule="auto"/>
            </w:pPr>
            <w:r/>
            <w:r>
              <w:rPr>
                <w:rFonts w:ascii="游明朝" w:hAnsi="游明朝" w:eastAsia="游明朝"/>
                <w:b w:val="0"/>
                <w:color w:val="23301F"/>
                <w:sz w:val="21"/>
              </w:rPr>
              <w:t>以上より、言葉遣いは思いやりを相手に届けるための手段であり、気持ちと切り離すことはできない。私は教育学科で学び、子どもたちに言葉と気持ちの両方を大切にすることを伝えられる教員になりたい。</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アドミッションポリシーとのつながり</w:t>
      </w:r>
    </w:p>
    <w:p>
      <w:pPr>
        <w:spacing w:after="40" w:before="0" w:line="300" w:lineRule="auto"/>
        <w:ind w:left="227" w:hanging="227"/>
      </w:pPr>
      <w:r>
        <w:rPr>
          <w:rFonts w:ascii="游ゴシック" w:hAnsi="游ゴシック" w:eastAsia="游ゴシック"/>
          <w:b/>
          <w:color w:val="23301F"/>
          <w:sz w:val="21"/>
        </w:rPr>
        <w:t>・</w:t>
      </w:r>
      <w:r>
        <w:rPr>
          <w:rFonts w:ascii="游ゴシック" w:hAnsi="游ゴシック" w:eastAsia="游ゴシック"/>
          <w:b w:val="0"/>
          <w:color w:val="23301F"/>
          <w:sz w:val="21"/>
        </w:rPr>
        <w:t>大学全体：建学の精神・教育理念に共感し、学問への意欲と、多様性・主体性への姿勢を持つ学生</w:t>
      </w:r>
    </w:p>
    <w:p>
      <w:pPr>
        <w:spacing w:after="40" w:before="0" w:line="300" w:lineRule="auto"/>
        <w:ind w:left="227" w:hanging="227"/>
      </w:pPr>
      <w:r>
        <w:rPr>
          <w:rFonts w:ascii="游ゴシック" w:hAnsi="游ゴシック" w:eastAsia="游ゴシック"/>
          <w:b/>
          <w:color w:val="23301F"/>
          <w:sz w:val="21"/>
        </w:rPr>
        <w:t>・</w:t>
      </w:r>
      <w:r>
        <w:rPr>
          <w:rFonts w:ascii="游ゴシック" w:hAnsi="游ゴシック" w:eastAsia="游ゴシック"/>
          <w:b w:val="0"/>
          <w:color w:val="23301F"/>
          <w:sz w:val="21"/>
        </w:rPr>
        <w:t>文学部 教育学科：本学の教育の理念を理解し、学ぶ意欲が高く、学科の求める学生像に合う学生を選抜（学科固有の方針本文は未確認）</w:t>
      </w:r>
    </w:p>
    <w:p>
      <w:pPr>
        <w:spacing w:after="40" w:before="40" w:line="300" w:lineRule="auto"/>
      </w:pPr>
      <w:r>
        <w:rPr>
          <w:rFonts w:ascii="游ゴシック" w:hAnsi="游ゴシック" w:eastAsia="游ゴシック"/>
          <w:b w:val="0"/>
          <w:color w:val="23301F"/>
          <w:sz w:val="21"/>
        </w:rPr>
        <w:t>言葉遣いと思いやりは、学校教育で日々扱うテーマである。教員の立場からこの問題をどう考えるかを結論で示すと、教育学科で学ぶ意欲と適性が伝わる。</w:t>
      </w:r>
    </w:p>
    <w:p>
      <w:pPr>
        <w:spacing w:after="80" w:before="0" w:line="300" w:lineRule="auto"/>
      </w:pPr>
      <w:r>
        <w:rPr>
          <w:rFonts w:ascii="游ゴシック" w:hAnsi="游ゴシック" w:eastAsia="游ゴシック"/>
          <w:b w:val="0"/>
          <w:color w:val="5B6B54"/>
          <w:sz w:val="16"/>
        </w:rPr>
        <w:t>出典：https://www.kokushikan.ac.jp/admission/undergraduate/guidebook/docs/admission_guidebook_2026.pdf　https://contact.kokushikan.ac.jp/faculty/Letters/about/file/Letters_education_AP.pdf（本文未確認）</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次回の課題</w:t>
      </w:r>
    </w:p>
    <w:p>
      <w:pPr>
        <w:spacing w:after="40" w:before="0" w:line="300" w:lineRule="auto"/>
      </w:pPr>
      <w:r>
        <w:rPr>
          <w:rFonts w:ascii="游ゴシック" w:hAnsi="游ゴシック" w:eastAsia="游ゴシック"/>
          <w:b/>
          <w:color w:val="D9782D"/>
          <w:sz w:val="21"/>
        </w:rPr>
        <w:t>1．</w:t>
      </w:r>
      <w:r>
        <w:rPr>
          <w:rFonts w:ascii="游ゴシック" w:hAnsi="游ゴシック" w:eastAsia="游ゴシック"/>
          <w:b w:val="0"/>
          <w:color w:val="23301F"/>
          <w:sz w:val="21"/>
        </w:rPr>
        <w:t>要約は「筆者は〜と述べている」の形で、筆者を主語にして書く</w:t>
      </w:r>
    </w:p>
    <w:p>
      <w:pPr>
        <w:spacing w:after="40" w:before="0" w:line="300" w:lineRule="auto"/>
      </w:pPr>
      <w:r>
        <w:rPr>
          <w:rFonts w:ascii="游ゴシック" w:hAnsi="游ゴシック" w:eastAsia="游ゴシック"/>
          <w:b/>
          <w:color w:val="D9782D"/>
          <w:sz w:val="21"/>
        </w:rPr>
        <w:t>2．</w:t>
      </w:r>
      <w:r>
        <w:rPr>
          <w:rFonts w:ascii="游ゴシック" w:hAnsi="游ゴシック" w:eastAsia="游ゴシック"/>
          <w:b w:val="0"/>
          <w:color w:val="23301F"/>
          <w:sz w:val="21"/>
        </w:rPr>
        <w:t>反対意見を書くときは、極端な言い方を避けて理由の筋道を示す</w:t>
      </w:r>
    </w:p>
    <w:p>
      <w:pPr>
        <w:spacing w:after="40" w:before="0" w:line="300" w:lineRule="auto"/>
      </w:pPr>
      <w:r>
        <w:rPr>
          <w:rFonts w:ascii="游ゴシック" w:hAnsi="游ゴシック" w:eastAsia="游ゴシック"/>
          <w:b/>
          <w:color w:val="D9782D"/>
          <w:sz w:val="21"/>
        </w:rPr>
        <w:t>3．</w:t>
      </w:r>
      <w:r>
        <w:rPr>
          <w:rFonts w:ascii="游ゴシック" w:hAnsi="游ゴシック" w:eastAsia="游ゴシック"/>
          <w:b w:val="0"/>
          <w:color w:val="23301F"/>
          <w:sz w:val="21"/>
        </w:rPr>
        <w:t>書き終えたら、同じ意味の言葉が重なっていないか（覚えた・感じた など）見直す</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color w:val="5B6B54"/>
        <w:sz w:val="16"/>
      </w:rPr>
      <w:t>小論文添削（ショー）</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