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jc w:val="center"/>
        <w:tblLayout w:type="fixed"/>
        <w:tblLook w:firstColumn="1" w:firstRow="1" w:lastColumn="0" w:lastRow="0" w:noHBand="0" w:noVBand="1" w:val="04A0"/>
      </w:tblPr>
      <w:tblGrid>
        <w:gridCol w:w="6237"/>
        <w:gridCol w:w="3402"/>
      </w:tblGrid>
      <w:tr>
        <w:tc>
          <w:tcPr>
            <w:tcW w:type="dxa" w:w="6236"/>
            <w:shd w:val="clear" w:color="auto" w:fill="2C5F2D"/>
            <w:vAlign w:val="center"/>
          </w:tcPr>
          <w:p>
            <w:pPr>
              <w:spacing w:after="0" w:line="288" w:lineRule="auto"/>
            </w:pPr>
            <w:r/>
            <w:r>
              <w:rPr>
                <w:rFonts w:ascii="游ゴシック" w:hAnsi="游ゴシック" w:eastAsia="游ゴシック"/>
                <w:b/>
                <w:color w:val="FFFFFF"/>
                <w:sz w:val="40"/>
              </w:rPr>
              <w:t>小論文 添削シート</w:t>
            </w:r>
          </w:p>
        </w:tc>
        <w:tc>
          <w:tcPr>
            <w:tcW w:type="dxa" w:w="3402"/>
            <w:shd w:val="clear" w:color="auto" w:fill="2C5F2D"/>
            <w:vAlign w:val="center"/>
          </w:tcPr>
          <w:p>
            <w:pPr>
              <w:spacing w:after="0" w:line="288" w:lineRule="auto"/>
              <w:jc w:val="right"/>
            </w:pPr>
            <w:r/>
            <w:r>
              <w:rPr>
                <w:rFonts w:ascii="游ゴシック" w:hAnsi="游ゴシック" w:eastAsia="游ゴシック"/>
                <w:b/>
                <w:color w:val="FFFFFF"/>
                <w:sz w:val="21"/>
              </w:rPr>
              <w:t>2026-10-17</w:t>
            </w:r>
          </w:p>
          <w:p>
            <w:pPr>
              <w:spacing w:after="0" w:line="288" w:lineRule="auto"/>
            </w:pPr>
            <w:r>
              <w:rPr>
                <w:rFonts w:ascii="游ゴシック" w:hAnsi="游ゴシック" w:eastAsia="游ゴシック"/>
                <w:b/>
                <w:color w:val="FFFFFF"/>
                <w:sz w:val="21"/>
              </w:rPr>
              <w:t>石川陽太</w:t>
            </w:r>
          </w:p>
        </w:tc>
      </w:tr>
    </w:tbl>
    <w:p>
      <w:pPr>
        <w:spacing w:after="40" w:before="0" w:line="300" w:lineRule="auto"/>
      </w:pP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134"/>
        <w:gridCol w:w="8505"/>
      </w:tblGrid>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志望</w:t>
            </w:r>
          </w:p>
        </w:tc>
        <w:tc>
          <w:tcPr>
            <w:tcW w:type="dxa" w:w="8504"/>
            <w:vAlign w:val="center"/>
          </w:tcPr>
          <w:p>
            <w:pPr>
              <w:spacing w:after="0" w:line="288" w:lineRule="auto"/>
            </w:pPr>
            <w:r/>
            <w:r>
              <w:rPr>
                <w:rFonts w:ascii="游ゴシック" w:hAnsi="游ゴシック" w:eastAsia="游ゴシック"/>
                <w:b w:val="0"/>
                <w:color w:val="23301F"/>
                <w:sz w:val="20"/>
              </w:rPr>
              <w:t>国士舘大学 文学部 教育学科 総合型選抜 令和8年度 Ⅳ期（3月1日）</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題材</w:t>
            </w:r>
          </w:p>
        </w:tc>
        <w:tc>
          <w:tcPr>
            <w:tcW w:type="dxa" w:w="8504"/>
            <w:vAlign w:val="center"/>
          </w:tcPr>
          <w:p>
            <w:pPr>
              <w:spacing w:after="0" w:line="288" w:lineRule="auto"/>
            </w:pPr>
            <w:r/>
            <w:r>
              <w:rPr>
                <w:rFonts w:ascii="游ゴシック" w:hAnsi="游ゴシック" w:eastAsia="游ゴシック"/>
                <w:b w:val="0"/>
                <w:color w:val="23301F"/>
                <w:sz w:val="20"/>
              </w:rPr>
              <w:t>社会の諸問題を自分の問題として考えること　／　髙作正博編『私たちがつくる社会』</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設問</w:t>
            </w:r>
          </w:p>
        </w:tc>
        <w:tc>
          <w:tcPr>
            <w:tcW w:type="dxa" w:w="8504"/>
            <w:vAlign w:val="center"/>
          </w:tcPr>
          <w:p>
            <w:pPr>
              <w:spacing w:after="0" w:line="288" w:lineRule="auto"/>
            </w:pPr>
            <w:r/>
            <w:r>
              <w:rPr>
                <w:rFonts w:ascii="游ゴシック" w:hAnsi="游ゴシック" w:eastAsia="游ゴシック"/>
                <w:b w:val="0"/>
                <w:color w:val="23301F"/>
                <w:sz w:val="20"/>
              </w:rPr>
              <w:t>翔太と美咲の会話は、社会の諸問題を自分の問題として考えることの重要性を示唆している。そこで、社会の諸問題を自分の問題として考えることについて、あなたの意見をこれまでの経験・体験などを交えて600字で論ぜよ。</w:t>
            </w:r>
          </w:p>
        </w:tc>
      </w:tr>
      <w:tr>
        <w:tc>
          <w:tcPr>
            <w:tcW w:type="dxa" w:w="1134"/>
            <w:shd w:val="clear" w:color="auto" w:fill="F6F8F3"/>
            <w:vAlign w:val="center"/>
          </w:tcPr>
          <w:p>
            <w:pPr>
              <w:spacing w:after="0" w:line="288" w:lineRule="auto"/>
              <w:jc w:val="center"/>
            </w:pPr>
            <w:r/>
            <w:r>
              <w:rPr>
                <w:rFonts w:ascii="游ゴシック" w:hAnsi="游ゴシック" w:eastAsia="游ゴシック"/>
                <w:b/>
                <w:color w:val="2C5F2D"/>
                <w:sz w:val="19"/>
              </w:rPr>
              <w:t>字数</w:t>
            </w:r>
          </w:p>
        </w:tc>
        <w:tc>
          <w:tcPr>
            <w:tcW w:type="dxa" w:w="8504"/>
            <w:vAlign w:val="center"/>
          </w:tcPr>
          <w:p>
            <w:pPr>
              <w:spacing w:after="0" w:line="288" w:lineRule="auto"/>
            </w:pPr>
            <w:r/>
            <w:r>
              <w:rPr>
                <w:rFonts w:ascii="游ゴシック" w:hAnsi="游ゴシック" w:eastAsia="游ゴシック"/>
                <w:b w:val="0"/>
                <w:color w:val="23301F"/>
                <w:sz w:val="20"/>
              </w:rPr>
              <w:t>制限 600字以内　→　答案 320字（9割（540字）に届いていない）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評価</w:t>
      </w:r>
    </w:p>
    <w:p>
      <w:pPr>
        <w:spacing w:after="80" w:before="0" w:line="300" w:lineRule="auto"/>
      </w:pPr>
      <w:r>
        <w:rPr>
          <w:rFonts w:ascii="游ゴシック" w:hAnsi="游ゴシック" w:eastAsia="游ゴシック"/>
          <w:b/>
          <w:color w:val="17321A"/>
          <w:sz w:val="24"/>
        </w:rPr>
        <w:t xml:space="preserve">総合 </w:t>
      </w:r>
      <w:r>
        <w:rPr>
          <w:rFonts w:ascii="游ゴシック" w:hAnsi="游ゴシック" w:eastAsia="游ゴシック"/>
          <w:b/>
          <w:color w:val="D9782D"/>
          <w:sz w:val="56"/>
        </w:rPr>
        <w:t>55</w:t>
      </w:r>
      <w:r>
        <w:rPr>
          <w:rFonts w:ascii="游ゴシック" w:hAnsi="游ゴシック" w:eastAsia="游ゴシック"/>
          <w:b/>
          <w:color w:val="17321A"/>
          <w:sz w:val="24"/>
        </w:rPr>
        <w:t xml:space="preserve"> / 100点</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2154"/>
        <w:gridCol w:w="1134"/>
        <w:gridCol w:w="6350"/>
      </w:tblGrid>
      <w:tr>
        <w:tc>
          <w:tcPr>
            <w:tcW w:type="dxa" w:w="2154"/>
            <w:shd w:val="clear" w:color="auto" w:fill="2C5F2D"/>
            <w:vAlign w:val="center"/>
          </w:tcPr>
          <w:p>
            <w:pPr>
              <w:spacing w:after="0" w:line="288" w:lineRule="auto"/>
              <w:jc w:val="center"/>
            </w:pPr>
            <w:r/>
            <w:r>
              <w:rPr>
                <w:rFonts w:ascii="游ゴシック" w:hAnsi="游ゴシック" w:eastAsia="游ゴシック"/>
                <w:b/>
                <w:color w:val="FFFFFF"/>
                <w:sz w:val="19"/>
              </w:rPr>
              <w:t>観点</w:t>
            </w:r>
          </w:p>
        </w:tc>
        <w:tc>
          <w:tcPr>
            <w:tcW w:type="dxa" w:w="1134"/>
            <w:shd w:val="clear" w:color="auto" w:fill="2C5F2D"/>
            <w:vAlign w:val="center"/>
          </w:tcPr>
          <w:p>
            <w:pPr>
              <w:spacing w:after="0" w:line="288" w:lineRule="auto"/>
              <w:jc w:val="center"/>
            </w:pPr>
            <w:r/>
            <w:r>
              <w:rPr>
                <w:rFonts w:ascii="游ゴシック" w:hAnsi="游ゴシック" w:eastAsia="游ゴシック"/>
                <w:b/>
                <w:color w:val="FFFFFF"/>
                <w:sz w:val="19"/>
              </w:rPr>
              <w:t>得点</w:t>
            </w:r>
          </w:p>
        </w:tc>
        <w:tc>
          <w:tcPr>
            <w:tcW w:type="dxa" w:w="6350"/>
            <w:shd w:val="clear" w:color="auto" w:fill="2C5F2D"/>
            <w:vAlign w:val="center"/>
          </w:tcPr>
          <w:p>
            <w:pPr>
              <w:spacing w:after="0" w:line="288" w:lineRule="auto"/>
              <w:jc w:val="center"/>
            </w:pPr>
            <w:r/>
            <w:r>
              <w:rPr>
                <w:rFonts w:ascii="游ゴシック" w:hAnsi="游ゴシック" w:eastAsia="游ゴシック"/>
                <w:b/>
                <w:color w:val="FFFFFF"/>
                <w:sz w:val="19"/>
              </w:rPr>
              <w:t>コメント</w:t>
            </w:r>
          </w:p>
        </w:tc>
      </w:tr>
      <w:tr>
        <w:tc>
          <w:tcPr>
            <w:tcW w:type="dxa" w:w="2154"/>
            <w:vAlign w:val="center"/>
          </w:tcPr>
          <w:p>
            <w:pPr>
              <w:spacing w:after="0" w:line="288" w:lineRule="auto"/>
            </w:pPr>
            <w:r/>
            <w:r>
              <w:rPr>
                <w:rFonts w:ascii="游ゴシック" w:hAnsi="游ゴシック" w:eastAsia="游ゴシック"/>
                <w:b/>
                <w:color w:val="17321A"/>
                <w:sz w:val="19"/>
              </w:rPr>
              <w:t>設問への応答</w:t>
            </w:r>
          </w:p>
        </w:tc>
        <w:tc>
          <w:tcPr>
            <w:tcW w:type="dxa" w:w="1134"/>
            <w:vAlign w:val="center"/>
          </w:tcPr>
          <w:p>
            <w:pPr>
              <w:spacing w:after="0" w:line="288" w:lineRule="auto"/>
              <w:jc w:val="center"/>
            </w:pPr>
            <w:r/>
            <w:r>
              <w:rPr>
                <w:rFonts w:ascii="游ゴシック" w:hAnsi="游ゴシック" w:eastAsia="游ゴシック"/>
                <w:b/>
                <w:color w:val="D9782D"/>
                <w:sz w:val="22"/>
              </w:rPr>
              <w:t>10 / 20</w:t>
            </w:r>
          </w:p>
        </w:tc>
        <w:tc>
          <w:tcPr>
            <w:tcW w:type="dxa" w:w="6350"/>
            <w:vAlign w:val="center"/>
          </w:tcPr>
          <w:p>
            <w:pPr>
              <w:spacing w:after="0" w:line="288" w:lineRule="auto"/>
            </w:pPr>
            <w:r/>
            <w:r>
              <w:rPr>
                <w:rFonts w:ascii="游ゴシック" w:hAnsi="游ゴシック" w:eastAsia="游ゴシック"/>
                <w:b w:val="0"/>
                <w:color w:val="23301F"/>
                <w:sz w:val="19"/>
              </w:rPr>
              <w:t>設問は「社会の諸問題を自分の問題として考えることについての意見」。「自分の問題として考えることが2つある」では意見になっていない。翔太と美咲の会話（「私たち」意識）にも触れていない。</w:t>
            </w:r>
          </w:p>
        </w:tc>
      </w:tr>
      <w:tr>
        <w:tc>
          <w:tcPr>
            <w:tcW w:type="dxa" w:w="2154"/>
            <w:vAlign w:val="center"/>
          </w:tcPr>
          <w:p>
            <w:pPr>
              <w:spacing w:after="0" w:line="288" w:lineRule="auto"/>
            </w:pPr>
            <w:r/>
            <w:r>
              <w:rPr>
                <w:rFonts w:ascii="游ゴシック" w:hAnsi="游ゴシック" w:eastAsia="游ゴシック"/>
                <w:b/>
                <w:color w:val="17321A"/>
                <w:sz w:val="19"/>
              </w:rPr>
              <w:t>構成・論理</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一つ目・二つ目と分ける構成は良い。序論で主張を示していないため、例が何を証明するのかが分からない。</w:t>
            </w:r>
          </w:p>
        </w:tc>
      </w:tr>
      <w:tr>
        <w:tc>
          <w:tcPr>
            <w:tcW w:type="dxa" w:w="2154"/>
            <w:vAlign w:val="center"/>
          </w:tcPr>
          <w:p>
            <w:pPr>
              <w:spacing w:after="0" w:line="288" w:lineRule="auto"/>
            </w:pPr>
            <w:r/>
            <w:r>
              <w:rPr>
                <w:rFonts w:ascii="游ゴシック" w:hAnsi="游ゴシック" w:eastAsia="游ゴシック"/>
                <w:b/>
                <w:color w:val="17321A"/>
                <w:sz w:val="19"/>
              </w:rPr>
              <w:t>根拠・具体性</w:t>
            </w:r>
          </w:p>
        </w:tc>
        <w:tc>
          <w:tcPr>
            <w:tcW w:type="dxa" w:w="1134"/>
            <w:vAlign w:val="center"/>
          </w:tcPr>
          <w:p>
            <w:pPr>
              <w:spacing w:after="0" w:line="288" w:lineRule="auto"/>
              <w:jc w:val="center"/>
            </w:pPr>
            <w:r/>
            <w:r>
              <w:rPr>
                <w:rFonts w:ascii="游ゴシック" w:hAnsi="游ゴシック" w:eastAsia="游ゴシック"/>
                <w:b/>
                <w:color w:val="D9782D"/>
                <w:sz w:val="22"/>
              </w:rPr>
              <w:t>14 / 20</w:t>
            </w:r>
          </w:p>
        </w:tc>
        <w:tc>
          <w:tcPr>
            <w:tcW w:type="dxa" w:w="6350"/>
            <w:vAlign w:val="center"/>
          </w:tcPr>
          <w:p>
            <w:pPr>
              <w:spacing w:after="0" w:line="288" w:lineRule="auto"/>
            </w:pPr>
            <w:r/>
            <w:r>
              <w:rPr>
                <w:rFonts w:ascii="游ゴシック" w:hAnsi="游ゴシック" w:eastAsia="游ゴシック"/>
                <w:b w:val="0"/>
                <w:color w:val="23301F"/>
                <w:sz w:val="19"/>
              </w:rPr>
              <w:t>省エネ、マイバッグ、環境委員の啓発と、実際に行動した具体例が豊富で、4本の中でいちばん説得力のある材料。</w:t>
            </w:r>
          </w:p>
        </w:tc>
      </w:tr>
      <w:tr>
        <w:tc>
          <w:tcPr>
            <w:tcW w:type="dxa" w:w="2154"/>
            <w:vAlign w:val="center"/>
          </w:tcPr>
          <w:p>
            <w:pPr>
              <w:spacing w:after="0" w:line="288" w:lineRule="auto"/>
            </w:pPr>
            <w:r/>
            <w:r>
              <w:rPr>
                <w:rFonts w:ascii="游ゴシック" w:hAnsi="游ゴシック" w:eastAsia="游ゴシック"/>
                <w:b/>
                <w:color w:val="17321A"/>
                <w:sz w:val="19"/>
              </w:rPr>
              <w:t>学部・アドミッションポリシーとの適合</w:t>
            </w:r>
          </w:p>
        </w:tc>
        <w:tc>
          <w:tcPr>
            <w:tcW w:type="dxa" w:w="1134"/>
            <w:vAlign w:val="center"/>
          </w:tcPr>
          <w:p>
            <w:pPr>
              <w:spacing w:after="0" w:line="288" w:lineRule="auto"/>
              <w:jc w:val="center"/>
            </w:pPr>
            <w:r/>
            <w:r>
              <w:rPr>
                <w:rFonts w:ascii="游ゴシック" w:hAnsi="游ゴシック" w:eastAsia="游ゴシック"/>
                <w:b/>
                <w:color w:val="D9782D"/>
                <w:sz w:val="22"/>
              </w:rPr>
              <w:t>11 / 20</w:t>
            </w:r>
          </w:p>
        </w:tc>
        <w:tc>
          <w:tcPr>
            <w:tcW w:type="dxa" w:w="6350"/>
            <w:vAlign w:val="center"/>
          </w:tcPr>
          <w:p>
            <w:pPr>
              <w:spacing w:after="0" w:line="288" w:lineRule="auto"/>
            </w:pPr>
            <w:r/>
            <w:r>
              <w:rPr>
                <w:rFonts w:ascii="游ゴシック" w:hAnsi="游ゴシック" w:eastAsia="游ゴシック"/>
                <w:b w:val="0"/>
                <w:color w:val="23301F"/>
                <w:sz w:val="19"/>
              </w:rPr>
              <w:t>いじめという教育問題を取り上げている点は教育学科に合う。後半で教員としての考えが書けているかは未確認。</w:t>
            </w:r>
          </w:p>
        </w:tc>
      </w:tr>
      <w:tr>
        <w:tc>
          <w:tcPr>
            <w:tcW w:type="dxa" w:w="2154"/>
            <w:vAlign w:val="center"/>
          </w:tcPr>
          <w:p>
            <w:pPr>
              <w:spacing w:after="0" w:line="288" w:lineRule="auto"/>
            </w:pPr>
            <w:r/>
            <w:r>
              <w:rPr>
                <w:rFonts w:ascii="游ゴシック" w:hAnsi="游ゴシック" w:eastAsia="游ゴシック"/>
                <w:b/>
                <w:color w:val="17321A"/>
                <w:sz w:val="19"/>
              </w:rPr>
              <w:t>表現・表記</w:t>
            </w:r>
          </w:p>
        </w:tc>
        <w:tc>
          <w:tcPr>
            <w:tcW w:type="dxa" w:w="1134"/>
            <w:vAlign w:val="center"/>
          </w:tcPr>
          <w:p>
            <w:pPr>
              <w:spacing w:after="0" w:line="288" w:lineRule="auto"/>
              <w:jc w:val="center"/>
            </w:pPr>
            <w:r/>
            <w:r>
              <w:rPr>
                <w:rFonts w:ascii="游ゴシック" w:hAnsi="游ゴシック" w:eastAsia="游ゴシック"/>
                <w:b/>
                <w:color w:val="D9782D"/>
                <w:sz w:val="22"/>
              </w:rPr>
              <w:t>9 / 20</w:t>
            </w:r>
          </w:p>
        </w:tc>
        <w:tc>
          <w:tcPr>
            <w:tcW w:type="dxa" w:w="6350"/>
            <w:vAlign w:val="center"/>
          </w:tcPr>
          <w:p>
            <w:pPr>
              <w:spacing w:after="0" w:line="288" w:lineRule="auto"/>
            </w:pPr>
            <w:r/>
            <w:r>
              <w:rPr>
                <w:rFonts w:ascii="游ゴシック" w:hAnsi="游ゴシック" w:eastAsia="游ゴシック"/>
                <w:b w:val="0"/>
                <w:color w:val="23301F"/>
                <w:sz w:val="19"/>
              </w:rPr>
              <w:t>「世界全員」は「世界中の人々」。「マイバック」は「マイバッグ」。「2つ」と「一つ目」で数字の表記が混在。字数は320字（後半未確認）。</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総評</w:t>
      </w:r>
    </w:p>
    <w:p>
      <w:pPr>
        <w:spacing w:after="80" w:before="0" w:line="300" w:lineRule="auto"/>
      </w:pPr>
      <w:r>
        <w:rPr>
          <w:rFonts w:ascii="游ゴシック" w:hAnsi="游ゴシック" w:eastAsia="游ゴシック"/>
          <w:b w:val="0"/>
          <w:color w:val="23301F"/>
          <w:sz w:val="21"/>
        </w:rPr>
        <w:t>【前提】設問文と字数（600字）は大学公式の過去問で確認した。答案はページの途中で切れており、後半は未確認。書かれている部分だけで評価した（字数の評価は暫定）。省エネやマイバッグ、環境委員としての啓発など、自分が実際に行動した具体例を書けている点はとても良い。しかし、設問の「重要性」に答えていない。序論で「自分の問題として捉えたときに初めて人は行動できるから重要だ」と答えを示せば、具体例が主張を支える根拠として生きてく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良かったところ</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省エネ・マイバッグ・環境委員の啓発と、実際に行動した具体例が豊富</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環境といじめという二つの観点に分けて整理できている</w:t>
      </w:r>
    </w:p>
    <w:p>
      <w:pPr>
        <w:spacing w:after="40" w:before="0" w:line="300" w:lineRule="auto"/>
        <w:ind w:left="227" w:hanging="227"/>
      </w:pPr>
      <w:r>
        <w:rPr>
          <w:rFonts w:ascii="游ゴシック" w:hAnsi="游ゴシック" w:eastAsia="游ゴシック"/>
          <w:b/>
          <w:color w:val="2C5F2D"/>
          <w:sz w:val="21"/>
        </w:rPr>
        <w:t xml:space="preserve">✓ </w:t>
      </w:r>
      <w:r>
        <w:rPr>
          <w:rFonts w:ascii="游ゴシック" w:hAnsi="游ゴシック" w:eastAsia="游ゴシック"/>
          <w:b w:val="0"/>
          <w:color w:val="23301F"/>
          <w:sz w:val="21"/>
        </w:rPr>
        <w:t>いじめという教育問題を取り上げ、教育学科の志望とつなげやすい題材を選べている</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直すと伸びるところ</w:t>
      </w:r>
    </w:p>
    <w:p>
      <w:pPr>
        <w:spacing w:after="20" w:before="60" w:line="300" w:lineRule="auto"/>
      </w:pPr>
      <w:r>
        <w:rPr>
          <w:rFonts w:ascii="游ゴシック" w:hAnsi="游ゴシック" w:eastAsia="游ゴシック"/>
          <w:b/>
          <w:color w:val="17321A"/>
          <w:sz w:val="21"/>
        </w:rPr>
        <w:t>1. 設問の「重要性」に答える主張を序論に書く</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「私は、自分の問題として考えることが2つある。」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設問は、自分の問題として考えることについての「意見」。「自分のこととして捉えたときに初めて人は行動を起こせるから重要だ」のように、意見を一文で答える。翔太と美咲の会話にも一言触れると、課題文を読んだうえでの意見だと伝わる。</w:t>
      </w:r>
    </w:p>
    <w:p>
      <w:pPr>
        <w:spacing w:after="20" w:before="60" w:line="300" w:lineRule="auto"/>
      </w:pPr>
      <w:r>
        <w:rPr>
          <w:rFonts w:ascii="游ゴシック" w:hAnsi="游ゴシック" w:eastAsia="游ゴシック"/>
          <w:b/>
          <w:color w:val="17321A"/>
          <w:sz w:val="21"/>
        </w:rPr>
        <w:t>2. 例を主張に結びつける</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「その他に、中学時代環境委員として啓発も行うことができた。」</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行動を並べたあとに「自分のこととして考えたから行動できた」とまとめ、主張の根拠であることを示す。</w:t>
      </w:r>
    </w:p>
    <w:p>
      <w:pPr>
        <w:spacing w:after="20" w:before="60" w:line="300" w:lineRule="auto"/>
      </w:pPr>
      <w:r>
        <w:rPr>
          <w:rFonts w:ascii="游ゴシック" w:hAnsi="游ゴシック" w:eastAsia="游ゴシック"/>
          <w:b/>
          <w:color w:val="17321A"/>
          <w:sz w:val="21"/>
        </w:rPr>
        <w:t>3. 二つ目（いじめ）で教員の視点を出す</w:t>
      </w:r>
    </w:p>
    <w:p>
      <w:pPr>
        <w:spacing w:after="20" w:before="0" w:line="300" w:lineRule="auto"/>
        <w:ind w:left="283"/>
      </w:pPr>
      <w:r>
        <w:rPr>
          <w:rFonts w:ascii="游ゴシック" w:hAnsi="游ゴシック" w:eastAsia="游ゴシック"/>
          <w:b/>
          <w:color w:val="5B6B54"/>
          <w:sz w:val="19"/>
        </w:rPr>
        <w:t>答案：</w:t>
      </w:r>
      <w:r>
        <w:rPr>
          <w:rFonts w:ascii="游明朝" w:hAnsi="游明朝" w:eastAsia="游明朝"/>
          <w:b w:val="0"/>
          <w:color w:val="5B6B54"/>
          <w:sz w:val="19"/>
        </w:rPr>
        <w:t>「私が中学生の時いじめを受けている子がいた。」</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後半があれば確認したい。「周りが自分には関係ないと考えるといじめは見過ごされる」と問題の構造を示し、教員としてどう向き合うかにつなげる。</w:t>
      </w:r>
    </w:p>
    <w:p>
      <w:pPr>
        <w:spacing w:after="20" w:before="60" w:line="300" w:lineRule="auto"/>
      </w:pPr>
      <w:r>
        <w:rPr>
          <w:rFonts w:ascii="游ゴシック" w:hAnsi="游ゴシック" w:eastAsia="游ゴシック"/>
          <w:b/>
          <w:color w:val="17321A"/>
          <w:sz w:val="21"/>
        </w:rPr>
        <w:t>4. 表記をそろえる</w:t>
      </w:r>
    </w:p>
    <w:p>
      <w:pPr>
        <w:spacing w:after="40" w:before="0" w:line="300" w:lineRule="auto"/>
        <w:ind w:left="283"/>
      </w:pPr>
      <w:r>
        <w:rPr>
          <w:rFonts w:ascii="游ゴシック" w:hAnsi="游ゴシック" w:eastAsia="游ゴシック"/>
          <w:b/>
          <w:color w:val="D9782D"/>
          <w:sz w:val="21"/>
        </w:rPr>
        <w:t xml:space="preserve">→ </w:t>
      </w:r>
      <w:r>
        <w:rPr>
          <w:rFonts w:ascii="游ゴシック" w:hAnsi="游ゴシック" w:eastAsia="游ゴシック"/>
          <w:b w:val="0"/>
          <w:color w:val="23301F"/>
          <w:sz w:val="21"/>
        </w:rPr>
        <w:t>「2つ」と「一つ目」のように数字の書き方が混ざっている。横書きでも漢数字に統一するとよい。</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あなたの答案（320字）</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第1段落</w:t>
            </w:r>
          </w:p>
          <w:p>
            <w:pPr>
              <w:spacing w:after="0" w:line="288" w:lineRule="auto"/>
            </w:pPr>
            <w:r>
              <w:rPr>
                <w:rFonts w:ascii="游ゴシック" w:hAnsi="游ゴシック" w:eastAsia="游ゴシック"/>
                <w:b/>
                <w:color w:val="2C5F2D"/>
                <w:sz w:val="19"/>
              </w:rPr>
              <w:t>53字</w:t>
            </w:r>
          </w:p>
        </w:tc>
        <w:tc>
          <w:tcPr>
            <w:tcW w:type="dxa" w:w="8277"/>
            <w:vAlign w:val="center"/>
          </w:tcPr>
          <w:p>
            <w:pPr>
              <w:spacing w:after="0" w:line="288" w:lineRule="auto"/>
            </w:pPr>
            <w:r/>
            <w:r>
              <w:rPr>
                <w:rFonts w:ascii="游明朝" w:hAnsi="游明朝" w:eastAsia="游明朝"/>
                <w:b w:val="0"/>
                <w:color w:val="23301F"/>
                <w:sz w:val="21"/>
              </w:rPr>
              <w:t>社会の諸問題を自分の問題として考えることの重要性は何だろうか。私は、自分の問題として考えることが2つある。</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第2段落</w:t>
            </w:r>
          </w:p>
          <w:p>
            <w:pPr>
              <w:spacing w:after="0" w:line="288" w:lineRule="auto"/>
            </w:pPr>
            <w:r>
              <w:rPr>
                <w:rFonts w:ascii="游ゴシック" w:hAnsi="游ゴシック" w:eastAsia="游ゴシック"/>
                <w:b/>
                <w:color w:val="2C5F2D"/>
                <w:sz w:val="19"/>
              </w:rPr>
              <w:t>212字</w:t>
            </w:r>
          </w:p>
        </w:tc>
        <w:tc>
          <w:tcPr>
            <w:tcW w:type="dxa" w:w="8277"/>
            <w:vAlign w:val="center"/>
          </w:tcPr>
          <w:p>
            <w:pPr>
              <w:spacing w:after="0" w:line="288" w:lineRule="auto"/>
            </w:pPr>
            <w:r/>
            <w:r>
              <w:rPr>
                <w:rFonts w:ascii="游明朝" w:hAnsi="游明朝" w:eastAsia="游明朝"/>
                <w:b w:val="0"/>
                <w:color w:val="23301F"/>
                <w:sz w:val="21"/>
              </w:rPr>
              <w:t>一つ目は、環境についてである。現在、地球温暖化や環境について問題になっている。例えば、私は温室効果ガスを減少させることは、世界全員の問題でもあり、一人ひとりの問題であると考える。自分の問題としてさまざまなことを考え、実行した。私は、温室効果ガスを減少させるために、エアコンや暖房での省エネを実践した。また、プラスチックごみを減らすためにマイバックを持参するようにした。その他に、中学時代環境委員として啓発も行うことができた。</w:t>
            </w:r>
          </w:p>
        </w:tc>
      </w:tr>
      <w:tr>
        <w:tc>
          <w:tcPr>
            <w:tcW w:type="dxa" w:w="1361"/>
            <w:shd w:val="clear" w:color="auto" w:fill="F6F8F3"/>
            <w:vAlign w:val="center"/>
          </w:tcPr>
          <w:p>
            <w:pPr>
              <w:spacing w:after="0" w:line="288" w:lineRule="auto"/>
              <w:jc w:val="center"/>
            </w:pPr>
            <w:r/>
            <w:r>
              <w:rPr>
                <w:rFonts w:ascii="游ゴシック" w:hAnsi="游ゴシック" w:eastAsia="游ゴシック"/>
                <w:b/>
                <w:color w:val="2C5F2D"/>
                <w:sz w:val="19"/>
              </w:rPr>
              <w:t>第3段落</w:t>
            </w:r>
          </w:p>
          <w:p>
            <w:pPr>
              <w:spacing w:after="0" w:line="288" w:lineRule="auto"/>
            </w:pPr>
            <w:r>
              <w:rPr>
                <w:rFonts w:ascii="游ゴシック" w:hAnsi="游ゴシック" w:eastAsia="游ゴシック"/>
                <w:b/>
                <w:color w:val="2C5F2D"/>
                <w:sz w:val="19"/>
              </w:rPr>
              <w:t>55字</w:t>
            </w:r>
          </w:p>
        </w:tc>
        <w:tc>
          <w:tcPr>
            <w:tcW w:type="dxa" w:w="8277"/>
            <w:vAlign w:val="center"/>
          </w:tcPr>
          <w:p>
            <w:pPr>
              <w:spacing w:after="0" w:line="288" w:lineRule="auto"/>
            </w:pPr>
            <w:r/>
            <w:r>
              <w:rPr>
                <w:rFonts w:ascii="游明朝" w:hAnsi="游明朝" w:eastAsia="游明朝"/>
                <w:b w:val="0"/>
                <w:color w:val="23301F"/>
                <w:sz w:val="21"/>
              </w:rPr>
              <w:t>二つ目は、いじめなどの教育問題についてである。私が中学生の時いじめを受けている子がいた。その〔以下、続きなし〕</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表記・表現の直し</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3402"/>
        <w:gridCol w:w="3402"/>
        <w:gridCol w:w="2835"/>
      </w:tblGrid>
      <w:tr>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答案</w:t>
            </w:r>
          </w:p>
        </w:tc>
        <w:tc>
          <w:tcPr>
            <w:tcW w:type="dxa" w:w="3402"/>
            <w:shd w:val="clear" w:color="auto" w:fill="2C5F2D"/>
            <w:vAlign w:val="center"/>
          </w:tcPr>
          <w:p>
            <w:pPr>
              <w:spacing w:after="0" w:line="288" w:lineRule="auto"/>
              <w:jc w:val="center"/>
            </w:pPr>
            <w:r/>
            <w:r>
              <w:rPr>
                <w:rFonts w:ascii="游ゴシック" w:hAnsi="游ゴシック" w:eastAsia="游ゴシック"/>
                <w:b/>
                <w:color w:val="FFFFFF"/>
                <w:sz w:val="19"/>
              </w:rPr>
              <w:t>直し</w:t>
            </w:r>
          </w:p>
        </w:tc>
        <w:tc>
          <w:tcPr>
            <w:tcW w:type="dxa" w:w="2835"/>
            <w:shd w:val="clear" w:color="auto" w:fill="2C5F2D"/>
            <w:vAlign w:val="center"/>
          </w:tcPr>
          <w:p>
            <w:pPr>
              <w:spacing w:after="0" w:line="288" w:lineRule="auto"/>
              <w:jc w:val="center"/>
            </w:pPr>
            <w:r/>
            <w:r>
              <w:rPr>
                <w:rFonts w:ascii="游ゴシック" w:hAnsi="游ゴシック" w:eastAsia="游ゴシック"/>
                <w:b/>
                <w:color w:val="FFFFFF"/>
                <w:sz w:val="19"/>
              </w:rPr>
              <w:t>理由</w:t>
            </w:r>
          </w:p>
        </w:tc>
      </w:tr>
      <w:tr>
        <w:tc>
          <w:tcPr>
            <w:tcW w:type="dxa" w:w="3402"/>
            <w:vAlign w:val="center"/>
          </w:tcPr>
          <w:p>
            <w:pPr>
              <w:spacing w:after="0" w:line="288" w:lineRule="auto"/>
            </w:pPr>
            <w:r/>
            <w:r>
              <w:rPr>
                <w:rFonts w:ascii="游明朝" w:hAnsi="游明朝" w:eastAsia="游明朝"/>
                <w:b w:val="0"/>
                <w:color w:val="23301F"/>
                <w:sz w:val="19"/>
              </w:rPr>
              <w:t>私は、自分の問題として考えることが2つある。</w:t>
            </w:r>
          </w:p>
        </w:tc>
        <w:tc>
          <w:tcPr>
            <w:tcW w:type="dxa" w:w="3402"/>
            <w:vAlign w:val="center"/>
          </w:tcPr>
          <w:p>
            <w:pPr>
              <w:spacing w:after="0" w:line="288" w:lineRule="auto"/>
            </w:pPr>
            <w:r/>
            <w:r>
              <w:rPr>
                <w:rFonts w:ascii="游明朝" w:hAnsi="游明朝" w:eastAsia="游明朝"/>
                <w:b/>
                <w:color w:val="2C5F2D"/>
                <w:sz w:val="19"/>
              </w:rPr>
              <w:t>私は、問題を自分のこととして捉えたときに初めて、人は行動を起こせるからだと考える。</w:t>
            </w:r>
          </w:p>
        </w:tc>
        <w:tc>
          <w:tcPr>
            <w:tcW w:type="dxa" w:w="2835"/>
            <w:vAlign w:val="center"/>
          </w:tcPr>
          <w:p>
            <w:pPr>
              <w:spacing w:after="0" w:line="288" w:lineRule="auto"/>
            </w:pPr>
            <w:r/>
            <w:r>
              <w:rPr>
                <w:rFonts w:ascii="游ゴシック" w:hAnsi="游ゴシック" w:eastAsia="游ゴシック"/>
                <w:b w:val="0"/>
                <w:color w:val="23301F"/>
                <w:sz w:val="18"/>
              </w:rPr>
              <w:t>設問（重要性）への答えになっていない</w:t>
            </w:r>
          </w:p>
        </w:tc>
      </w:tr>
      <w:tr>
        <w:tc>
          <w:tcPr>
            <w:tcW w:type="dxa" w:w="3402"/>
            <w:vAlign w:val="center"/>
          </w:tcPr>
          <w:p>
            <w:pPr>
              <w:spacing w:after="0" w:line="288" w:lineRule="auto"/>
            </w:pPr>
            <w:r/>
            <w:r>
              <w:rPr>
                <w:rFonts w:ascii="游明朝" w:hAnsi="游明朝" w:eastAsia="游明朝"/>
                <w:b w:val="0"/>
                <w:color w:val="23301F"/>
                <w:sz w:val="19"/>
              </w:rPr>
              <w:t>地球温暖化や環境について問題になっている。</w:t>
            </w:r>
          </w:p>
        </w:tc>
        <w:tc>
          <w:tcPr>
            <w:tcW w:type="dxa" w:w="3402"/>
            <w:vAlign w:val="center"/>
          </w:tcPr>
          <w:p>
            <w:pPr>
              <w:spacing w:after="0" w:line="288" w:lineRule="auto"/>
            </w:pPr>
            <w:r/>
            <w:r>
              <w:rPr>
                <w:rFonts w:ascii="游明朝" w:hAnsi="游明朝" w:eastAsia="游明朝"/>
                <w:b/>
                <w:color w:val="2C5F2D"/>
                <w:sz w:val="19"/>
              </w:rPr>
              <w:t>地球温暖化などの環境問題が深刻になっている。</w:t>
            </w:r>
          </w:p>
        </w:tc>
        <w:tc>
          <w:tcPr>
            <w:tcW w:type="dxa" w:w="2835"/>
            <w:vAlign w:val="center"/>
          </w:tcPr>
          <w:p>
            <w:pPr>
              <w:spacing w:after="0" w:line="288" w:lineRule="auto"/>
            </w:pPr>
            <w:r/>
            <w:r>
              <w:rPr>
                <w:rFonts w:ascii="游ゴシック" w:hAnsi="游ゴシック" w:eastAsia="游ゴシック"/>
                <w:b w:val="0"/>
                <w:color w:val="23301F"/>
                <w:sz w:val="18"/>
              </w:rPr>
              <w:t>「環境について問題になっている」は不自然</w:t>
            </w:r>
          </w:p>
        </w:tc>
      </w:tr>
      <w:tr>
        <w:tc>
          <w:tcPr>
            <w:tcW w:type="dxa" w:w="3402"/>
            <w:vAlign w:val="center"/>
          </w:tcPr>
          <w:p>
            <w:pPr>
              <w:spacing w:after="0" w:line="288" w:lineRule="auto"/>
            </w:pPr>
            <w:r/>
            <w:r>
              <w:rPr>
                <w:rFonts w:ascii="游明朝" w:hAnsi="游明朝" w:eastAsia="游明朝"/>
                <w:b w:val="0"/>
                <w:color w:val="23301F"/>
                <w:sz w:val="19"/>
              </w:rPr>
              <w:t>世界全員の問題</w:t>
            </w:r>
          </w:p>
        </w:tc>
        <w:tc>
          <w:tcPr>
            <w:tcW w:type="dxa" w:w="3402"/>
            <w:vAlign w:val="center"/>
          </w:tcPr>
          <w:p>
            <w:pPr>
              <w:spacing w:after="0" w:line="288" w:lineRule="auto"/>
            </w:pPr>
            <w:r/>
            <w:r>
              <w:rPr>
                <w:rFonts w:ascii="游明朝" w:hAnsi="游明朝" w:eastAsia="游明朝"/>
                <w:b/>
                <w:color w:val="2C5F2D"/>
                <w:sz w:val="19"/>
              </w:rPr>
              <w:t>世界中の人々の問題</w:t>
            </w:r>
          </w:p>
        </w:tc>
        <w:tc>
          <w:tcPr>
            <w:tcW w:type="dxa" w:w="2835"/>
            <w:vAlign w:val="center"/>
          </w:tcPr>
          <w:p>
            <w:pPr>
              <w:spacing w:after="0" w:line="288" w:lineRule="auto"/>
            </w:pPr>
            <w:r/>
            <w:r>
              <w:rPr>
                <w:rFonts w:ascii="游ゴシック" w:hAnsi="游ゴシック" w:eastAsia="游ゴシック"/>
                <w:b w:val="0"/>
                <w:color w:val="23301F"/>
                <w:sz w:val="18"/>
              </w:rPr>
              <w:t>言葉の選び方</w:t>
            </w:r>
          </w:p>
        </w:tc>
      </w:tr>
      <w:tr>
        <w:tc>
          <w:tcPr>
            <w:tcW w:type="dxa" w:w="3402"/>
            <w:vAlign w:val="center"/>
          </w:tcPr>
          <w:p>
            <w:pPr>
              <w:spacing w:after="0" w:line="288" w:lineRule="auto"/>
            </w:pPr>
            <w:r/>
            <w:r>
              <w:rPr>
                <w:rFonts w:ascii="游明朝" w:hAnsi="游明朝" w:eastAsia="游明朝"/>
                <w:b w:val="0"/>
                <w:color w:val="23301F"/>
                <w:sz w:val="19"/>
              </w:rPr>
              <w:t>マイバック</w:t>
            </w:r>
          </w:p>
        </w:tc>
        <w:tc>
          <w:tcPr>
            <w:tcW w:type="dxa" w:w="3402"/>
            <w:vAlign w:val="center"/>
          </w:tcPr>
          <w:p>
            <w:pPr>
              <w:spacing w:after="0" w:line="288" w:lineRule="auto"/>
            </w:pPr>
            <w:r/>
            <w:r>
              <w:rPr>
                <w:rFonts w:ascii="游明朝" w:hAnsi="游明朝" w:eastAsia="游明朝"/>
                <w:b/>
                <w:color w:val="2C5F2D"/>
                <w:sz w:val="19"/>
              </w:rPr>
              <w:t>マイバッグ</w:t>
            </w:r>
          </w:p>
        </w:tc>
        <w:tc>
          <w:tcPr>
            <w:tcW w:type="dxa" w:w="2835"/>
            <w:vAlign w:val="center"/>
          </w:tcPr>
          <w:p>
            <w:pPr>
              <w:spacing w:after="0" w:line="288" w:lineRule="auto"/>
            </w:pPr>
            <w:r/>
            <w:r>
              <w:rPr>
                <w:rFonts w:ascii="游ゴシック" w:hAnsi="游ゴシック" w:eastAsia="游ゴシック"/>
                <w:b w:val="0"/>
                <w:color w:val="23301F"/>
                <w:sz w:val="18"/>
              </w:rPr>
              <w:t>表記の誤り</w:t>
            </w:r>
          </w:p>
        </w:tc>
      </w:tr>
      <w:tr>
        <w:tc>
          <w:tcPr>
            <w:tcW w:type="dxa" w:w="3402"/>
            <w:vAlign w:val="center"/>
          </w:tcPr>
          <w:p>
            <w:pPr>
              <w:spacing w:after="0" w:line="288" w:lineRule="auto"/>
            </w:pPr>
            <w:r/>
            <w:r>
              <w:rPr>
                <w:rFonts w:ascii="游明朝" w:hAnsi="游明朝" w:eastAsia="游明朝"/>
                <w:b w:val="0"/>
                <w:color w:val="23301F"/>
                <w:sz w:val="19"/>
              </w:rPr>
              <w:t>その他に、中学時代環境委員として</w:t>
            </w:r>
          </w:p>
        </w:tc>
        <w:tc>
          <w:tcPr>
            <w:tcW w:type="dxa" w:w="3402"/>
            <w:vAlign w:val="center"/>
          </w:tcPr>
          <w:p>
            <w:pPr>
              <w:spacing w:after="0" w:line="288" w:lineRule="auto"/>
            </w:pPr>
            <w:r/>
            <w:r>
              <w:rPr>
                <w:rFonts w:ascii="游明朝" w:hAnsi="游明朝" w:eastAsia="游明朝"/>
                <w:b/>
                <w:color w:val="2C5F2D"/>
                <w:sz w:val="19"/>
              </w:rPr>
              <w:t>さらに、中学時代には環境委員として</w:t>
            </w:r>
          </w:p>
        </w:tc>
        <w:tc>
          <w:tcPr>
            <w:tcW w:type="dxa" w:w="2835"/>
            <w:vAlign w:val="center"/>
          </w:tcPr>
          <w:p>
            <w:pPr>
              <w:spacing w:after="0" w:line="288" w:lineRule="auto"/>
            </w:pPr>
            <w:r/>
            <w:r>
              <w:rPr>
                <w:rFonts w:ascii="游ゴシック" w:hAnsi="游ゴシック" w:eastAsia="游ゴシック"/>
                <w:b w:val="0"/>
                <w:color w:val="23301F"/>
                <w:sz w:val="18"/>
              </w:rPr>
              <w:t>つなぎの言葉と助詞を補う</w:t>
            </w:r>
          </w:p>
        </w:tc>
      </w:tr>
      <w:tr>
        <w:tc>
          <w:tcPr>
            <w:tcW w:type="dxa" w:w="3402"/>
            <w:vAlign w:val="center"/>
          </w:tcPr>
          <w:p>
            <w:pPr>
              <w:spacing w:after="0" w:line="288" w:lineRule="auto"/>
            </w:pPr>
            <w:r/>
            <w:r>
              <w:rPr>
                <w:rFonts w:ascii="游明朝" w:hAnsi="游明朝" w:eastAsia="游明朝"/>
                <w:b w:val="0"/>
                <w:color w:val="23301F"/>
                <w:sz w:val="19"/>
              </w:rPr>
              <w:t>私が中学生の時いじめを受けている子がいた。</w:t>
            </w:r>
          </w:p>
        </w:tc>
        <w:tc>
          <w:tcPr>
            <w:tcW w:type="dxa" w:w="3402"/>
            <w:vAlign w:val="center"/>
          </w:tcPr>
          <w:p>
            <w:pPr>
              <w:spacing w:after="0" w:line="288" w:lineRule="auto"/>
            </w:pPr>
            <w:r/>
            <w:r>
              <w:rPr>
                <w:rFonts w:ascii="游明朝" w:hAnsi="游明朝" w:eastAsia="游明朝"/>
                <w:b/>
                <w:color w:val="2C5F2D"/>
                <w:sz w:val="19"/>
              </w:rPr>
              <w:t>私が中学生のとき、いじめを受けている生徒がいた。</w:t>
            </w:r>
          </w:p>
        </w:tc>
        <w:tc>
          <w:tcPr>
            <w:tcW w:type="dxa" w:w="2835"/>
            <w:vAlign w:val="center"/>
          </w:tcPr>
          <w:p>
            <w:pPr>
              <w:spacing w:after="0" w:line="288" w:lineRule="auto"/>
            </w:pPr>
            <w:r/>
            <w:r>
              <w:rPr>
                <w:rFonts w:ascii="游ゴシック" w:hAnsi="游ゴシック" w:eastAsia="游ゴシック"/>
                <w:b w:val="0"/>
                <w:color w:val="23301F"/>
                <w:sz w:val="18"/>
              </w:rPr>
              <w:t>読点と言葉の選び方</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構成の見直し（Q3 段落メモ）</w:t>
      </w:r>
    </w:p>
    <w:p>
      <w:pPr>
        <w:spacing w:after="80" w:before="0" w:line="300" w:lineRule="auto"/>
      </w:pPr>
      <w:r>
        <w:rPr>
          <w:rFonts w:ascii="游ゴシック" w:hAnsi="游ゴシック" w:eastAsia="游ゴシック"/>
          <w:b w:val="0"/>
          <w:color w:val="5B6B54"/>
          <w:sz w:val="19"/>
        </w:rPr>
        <w:t>左があなたの答案の骨組み、右がおすすめの骨組み。書く前にこのメモを作れば、構成は安定する。</w:t>
      </w:r>
    </w:p>
    <w:tbl>
      <w:tblPr>
        <w:tblW w:w="9639" w:type="dxa"/>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4819"/>
        <w:gridCol w:w="4819"/>
      </w:tblGrid>
      <w:tr>
        <w:tc>
          <w:tcPr>
            <w:tcW w:type="dxa" w:w="4819"/>
            <w:shd w:val="clear" w:color="auto" w:fill="2C5F2D"/>
            <w:vAlign w:val="center"/>
          </w:tcPr>
          <w:p>
            <w:pPr>
              <w:spacing w:after="0" w:line="288" w:lineRule="auto"/>
              <w:jc w:val="center"/>
            </w:pPr>
            <w:r/>
            <w:r>
              <w:rPr>
                <w:rFonts w:ascii="游ゴシック" w:hAnsi="游ゴシック" w:eastAsia="游ゴシック"/>
                <w:b/>
                <w:color w:val="FFFFFF"/>
                <w:sz w:val="19"/>
              </w:rPr>
              <w:t>あなたの答案</w:t>
            </w:r>
          </w:p>
        </w:tc>
        <w:tc>
          <w:tcPr>
            <w:tcW w:type="dxa" w:w="4819"/>
            <w:shd w:val="clear" w:color="auto" w:fill="D9782D"/>
            <w:vAlign w:val="center"/>
          </w:tcPr>
          <w:p>
            <w:pPr>
              <w:spacing w:after="0" w:line="288" w:lineRule="auto"/>
              <w:jc w:val="center"/>
            </w:pPr>
            <w:r/>
            <w:r>
              <w:rPr>
                <w:rFonts w:ascii="游ゴシック" w:hAnsi="游ゴシック" w:eastAsia="游ゴシック"/>
                <w:b/>
                <w:color w:val="FFFFFF"/>
                <w:sz w:val="19"/>
              </w:rPr>
              <w:t>おすすめの構成メモ</w:t>
            </w:r>
          </w:p>
        </w:tc>
      </w:tr>
      <w:tr>
        <w:tc>
          <w:tcPr>
            <w:tcW w:type="dxa" w:w="4819"/>
            <w:vAlign w:val="center"/>
          </w:tcPr>
          <w:p>
            <w:pPr>
              <w:spacing w:after="0" w:line="288" w:lineRule="auto"/>
            </w:pPr>
            <w:r/>
            <w:r>
              <w:rPr>
                <w:rFonts w:ascii="游ゴシック" w:hAnsi="游ゴシック" w:eastAsia="游ゴシック"/>
                <w:b w:val="0"/>
                <w:color w:val="23301F"/>
                <w:sz w:val="19"/>
              </w:rPr>
              <w:t>【第1段落】問い：重要性は何か → 自分の問題として考えることが2つある（答えがずれている）</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【序論】問い → 重要性：自分のこととして捉えると行動が生まれる（主張）</w:t>
            </w:r>
          </w:p>
        </w:tc>
      </w:tr>
      <w:tr>
        <w:tc>
          <w:tcPr>
            <w:tcW w:type="dxa" w:w="4819"/>
            <w:vAlign w:val="center"/>
          </w:tcPr>
          <w:p>
            <w:pPr>
              <w:spacing w:after="0" w:line="288" w:lineRule="auto"/>
            </w:pPr>
            <w:r/>
            <w:r>
              <w:rPr>
                <w:rFonts w:ascii="游ゴシック" w:hAnsi="游ゴシック" w:eastAsia="游ゴシック"/>
                <w:b w:val="0"/>
                <w:color w:val="23301F"/>
                <w:sz w:val="19"/>
              </w:rPr>
              <w:t>【第2段落】一つ目：環境 → 省エネ・マイバッグ・環境委員の啓発</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【本論①】環境：誰かが解決すると思えば変わらない → 省エネ・マイバッグ・環境委員の啓発</w:t>
            </w:r>
          </w:p>
        </w:tc>
      </w:tr>
      <w:tr>
        <w:tc>
          <w:tcPr>
            <w:tcW w:type="dxa" w:w="4819"/>
            <w:vAlign w:val="center"/>
          </w:tcPr>
          <w:p>
            <w:pPr>
              <w:spacing w:after="0" w:line="288" w:lineRule="auto"/>
            </w:pPr>
            <w:r/>
            <w:r>
              <w:rPr>
                <w:rFonts w:ascii="游ゴシック" w:hAnsi="游ゴシック" w:eastAsia="游ゴシック"/>
                <w:b w:val="0"/>
                <w:color w:val="23301F"/>
                <w:sz w:val="19"/>
              </w:rPr>
              <w:t>【第3段落】二つ目：いじめ → 中学時代いじめを受けている子がいた（途中で終わり）</w:t>
            </w: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【本論②】いじめ：関係ないと思うと見過ごされる → 全員が当事者という意識</w:t>
            </w:r>
          </w:p>
        </w:tc>
      </w:tr>
      <w:tr>
        <w:tc>
          <w:tcPr>
            <w:tcW w:type="dxa" w:w="4819"/>
          </w:tcPr>
          <w:p/>
        </w:tc>
        <w:tc>
          <w:tcPr>
            <w:tcW w:type="dxa" w:w="4819"/>
            <w:shd w:val="clear" w:color="auto" w:fill="FCEFE3"/>
            <w:vAlign w:val="center"/>
          </w:tcPr>
          <w:p>
            <w:pPr>
              <w:spacing w:after="0" w:line="288" w:lineRule="auto"/>
            </w:pPr>
            <w:r/>
            <w:r>
              <w:rPr>
                <w:rFonts w:ascii="游ゴシック" w:hAnsi="游ゴシック" w:eastAsia="游ゴシック"/>
                <w:b w:val="0"/>
                <w:color w:val="23301F"/>
                <w:sz w:val="19"/>
              </w:rPr>
              <w:t>【結論】自分ごと化が社会を変える出発点 → 子どもが身近な問題を自分のこととして考えられるよう導く教員に</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書き直し例（560字）</w:t>
      </w:r>
    </w:p>
    <w:p>
      <w:pPr>
        <w:spacing w:after="80" w:before="0" w:line="300" w:lineRule="auto"/>
      </w:pPr>
      <w:r>
        <w:rPr>
          <w:rFonts w:ascii="游ゴシック" w:hAnsi="游ゴシック" w:eastAsia="游ゴシック"/>
          <w:b w:val="0"/>
          <w:color w:val="5B6B54"/>
          <w:sz w:val="19"/>
        </w:rPr>
        <w:t>あなたの考えを生かしたまま直した一例。丸写しせず、どこが変わったかを比べて読むこと。</w:t>
      </w:r>
    </w:p>
    <w:tbl>
      <w:tblPr>
        <w:tblW w:w="9639" w:type="dxa"/>
        <w:jc w:val="center"/>
        <w:tblBorders>
          <w:top w:val="single" w:sz="4" w:color="DDE8CF"/>
          <w:left w:val="single" w:sz="4" w:color="DDE8CF"/>
          <w:bottom w:val="single" w:sz="4" w:color="DDE8CF"/>
          <w:right w:val="single" w:sz="4" w:color="DDE8CF"/>
          <w:insideH w:val="single" w:sz="4" w:color="DDE8CF"/>
          <w:insideV w:val="single" w:sz="4" w:color="DDE8CF"/>
        </w:tblBorders>
        <w:tblLayout w:type="fixed"/>
        <w:tblCellMar>
          <w:top w:w="40" w:type="dxa"/>
          <w:left w:w="100" w:type="dxa"/>
          <w:bottom w:w="40" w:type="dxa"/>
          <w:right w:w="100" w:type="dxa"/>
        </w:tblCellMar>
        <w:tblLook w:firstColumn="1" w:firstRow="1" w:lastColumn="0" w:lastRow="0" w:noHBand="0" w:noVBand="1" w:val="04A0"/>
      </w:tblPr>
      <w:tblGrid>
        <w:gridCol w:w="1360"/>
        <w:gridCol w:w="8278"/>
      </w:tblGrid>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序論</w:t>
            </w:r>
          </w:p>
          <w:p>
            <w:pPr>
              <w:spacing w:after="0" w:line="288" w:lineRule="auto"/>
            </w:pPr>
            <w:r>
              <w:rPr>
                <w:rFonts w:ascii="游ゴシック" w:hAnsi="游ゴシック" w:eastAsia="游ゴシック"/>
                <w:b/>
                <w:color w:val="2C5F2D"/>
                <w:sz w:val="19"/>
              </w:rPr>
              <w:t>104字</w:t>
            </w:r>
          </w:p>
        </w:tc>
        <w:tc>
          <w:tcPr>
            <w:tcW w:type="dxa" w:w="8277"/>
            <w:vAlign w:val="center"/>
          </w:tcPr>
          <w:p>
            <w:pPr>
              <w:spacing w:after="0" w:line="288" w:lineRule="auto"/>
            </w:pPr>
            <w:r/>
            <w:r>
              <w:rPr>
                <w:rFonts w:ascii="游明朝" w:hAnsi="游明朝" w:eastAsia="游明朝"/>
                <w:b w:val="0"/>
                <w:color w:val="23301F"/>
                <w:sz w:val="21"/>
              </w:rPr>
              <w:t>翔太と美咲の会話は、社会の問題を「私たち」の問題として考えることの大切さを示している。私は、問題を自分のこととして捉えたときに初めて、人は行動を起こせると考える。そのことを、環境問題といじめの問題から述べ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本論①</w:t>
            </w:r>
          </w:p>
          <w:p>
            <w:pPr>
              <w:spacing w:after="0" w:line="288" w:lineRule="auto"/>
            </w:pPr>
            <w:r>
              <w:rPr>
                <w:rFonts w:ascii="游ゴシック" w:hAnsi="游ゴシック" w:eastAsia="游ゴシック"/>
                <w:b/>
                <w:color w:val="2C5F2D"/>
                <w:sz w:val="19"/>
              </w:rPr>
              <w:t>213字</w:t>
            </w:r>
          </w:p>
        </w:tc>
        <w:tc>
          <w:tcPr>
            <w:tcW w:type="dxa" w:w="8277"/>
            <w:vAlign w:val="center"/>
          </w:tcPr>
          <w:p>
            <w:pPr>
              <w:spacing w:after="0" w:line="288" w:lineRule="auto"/>
            </w:pPr>
            <w:r/>
            <w:r>
              <w:rPr>
                <w:rFonts w:ascii="游明朝" w:hAnsi="游明朝" w:eastAsia="游明朝"/>
                <w:b w:val="0"/>
                <w:color w:val="23301F"/>
                <w:sz w:val="21"/>
              </w:rPr>
              <w:t>一つ目は、環境問題である。地球温暖化は世界中の人々に関わる問題だが、「誰かが解決してくれる」と考えていては何も変わらない。私は温室効果ガスを減らすことを自分の問題と捉え、エアコンや暖房の省エネを実践した。また、プラスチックごみを減らすためにマイバッグを持ち歩くようにした。さらに中学時代には環境委員として、周りの生徒に環境を守る行動を呼びかけた。一人の行動は小さくても、自分のこととして考える人が増えれば、社会は変わっていく。</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本論②</w:t>
            </w:r>
          </w:p>
          <w:p>
            <w:pPr>
              <w:spacing w:after="0" w:line="288" w:lineRule="auto"/>
            </w:pPr>
            <w:r>
              <w:rPr>
                <w:rFonts w:ascii="游ゴシック" w:hAnsi="游ゴシック" w:eastAsia="游ゴシック"/>
                <w:b/>
                <w:color w:val="2C5F2D"/>
                <w:sz w:val="19"/>
              </w:rPr>
              <w:t>149字</w:t>
            </w:r>
          </w:p>
        </w:tc>
        <w:tc>
          <w:tcPr>
            <w:tcW w:type="dxa" w:w="8277"/>
            <w:vAlign w:val="center"/>
          </w:tcPr>
          <w:p>
            <w:pPr>
              <w:spacing w:after="0" w:line="288" w:lineRule="auto"/>
            </w:pPr>
            <w:r/>
            <w:r>
              <w:rPr>
                <w:rFonts w:ascii="游明朝" w:hAnsi="游明朝" w:eastAsia="游明朝"/>
                <w:b w:val="0"/>
                <w:color w:val="23301F"/>
                <w:sz w:val="21"/>
              </w:rPr>
              <w:t>二つ目は、いじめなどの教育問題である。私が中学生のとき、いじめを受けている生徒がいた。いじめは、周りの人が「自分には関係ない」と考えた時点で見過ごされてしまう。一人ひとりが自分の問題として向き合い、見て見ぬふりをしないことが、いじめを止める第一歩になる。学級の全員が当事者だという意識が必要である。</w:t>
            </w:r>
          </w:p>
        </w:tc>
      </w:tr>
      <w:tr>
        <w:tc>
          <w:tcPr>
            <w:tcW w:type="dxa" w:w="1361"/>
            <w:shd w:val="clear" w:color="auto" w:fill="FCEFE3"/>
            <w:vAlign w:val="center"/>
          </w:tcPr>
          <w:p>
            <w:pPr>
              <w:spacing w:after="0" w:line="288" w:lineRule="auto"/>
              <w:jc w:val="center"/>
            </w:pPr>
            <w:r/>
            <w:r>
              <w:rPr>
                <w:rFonts w:ascii="游ゴシック" w:hAnsi="游ゴシック" w:eastAsia="游ゴシック"/>
                <w:b/>
                <w:color w:val="2C5F2D"/>
                <w:sz w:val="19"/>
              </w:rPr>
              <w:t>結論</w:t>
            </w:r>
          </w:p>
          <w:p>
            <w:pPr>
              <w:spacing w:after="0" w:line="288" w:lineRule="auto"/>
            </w:pPr>
            <w:r>
              <w:rPr>
                <w:rFonts w:ascii="游ゴシック" w:hAnsi="游ゴシック" w:eastAsia="游ゴシック"/>
                <w:b/>
                <w:color w:val="2C5F2D"/>
                <w:sz w:val="19"/>
              </w:rPr>
              <w:t>94字</w:t>
            </w:r>
          </w:p>
        </w:tc>
        <w:tc>
          <w:tcPr>
            <w:tcW w:type="dxa" w:w="8277"/>
            <w:vAlign w:val="center"/>
          </w:tcPr>
          <w:p>
            <w:pPr>
              <w:spacing w:after="0" w:line="288" w:lineRule="auto"/>
            </w:pPr>
            <w:r/>
            <w:r>
              <w:rPr>
                <w:rFonts w:ascii="游明朝" w:hAnsi="游明朝" w:eastAsia="游明朝"/>
                <w:b w:val="0"/>
                <w:color w:val="23301F"/>
                <w:sz w:val="21"/>
              </w:rPr>
              <w:t>以上より、社会の諸問題を自分の問題として考えることは、行動を生み、社会を変える出発点である。私は教育学科で学び、子どもたちが身近な問題を自分のこととして考えられるよう導ける教員になりたい。</w:t>
            </w:r>
          </w:p>
        </w:tc>
      </w:tr>
    </w:tbl>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アドミッションポリシーとのつながり</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大学全体：建学の精神・教育理念に共感し、学問への意欲と、多様性・主体性への姿勢を持つ学生</w:t>
      </w:r>
    </w:p>
    <w:p>
      <w:pPr>
        <w:spacing w:after="40" w:before="0" w:line="300" w:lineRule="auto"/>
        <w:ind w:left="227" w:hanging="227"/>
      </w:pPr>
      <w:r>
        <w:rPr>
          <w:rFonts w:ascii="游ゴシック" w:hAnsi="游ゴシック" w:eastAsia="游ゴシック"/>
          <w:b/>
          <w:color w:val="23301F"/>
          <w:sz w:val="21"/>
        </w:rPr>
        <w:t>・</w:t>
      </w:r>
      <w:r>
        <w:rPr>
          <w:rFonts w:ascii="游ゴシック" w:hAnsi="游ゴシック" w:eastAsia="游ゴシック"/>
          <w:b w:val="0"/>
          <w:color w:val="23301F"/>
          <w:sz w:val="21"/>
        </w:rPr>
        <w:t>文学部 教育学科：本学の教育の理念を理解し、学ぶ意欲が高く、学科の求める学生像に合う学生を選抜（学科固有の方針本文は未確認）</w:t>
      </w:r>
    </w:p>
    <w:p>
      <w:pPr>
        <w:spacing w:after="40" w:before="40" w:line="300" w:lineRule="auto"/>
      </w:pPr>
      <w:r>
        <w:rPr>
          <w:rFonts w:ascii="游ゴシック" w:hAnsi="游ゴシック" w:eastAsia="游ゴシック"/>
          <w:b w:val="0"/>
          <w:color w:val="23301F"/>
          <w:sz w:val="21"/>
        </w:rPr>
        <w:t>自ら行動した経験（省エネ・啓発活動）は、大学が求める主体性の証拠になる。いじめ問題を教員としてどう考えるかまで書けば、教育学科で学ぶ意欲と適性がはっきり伝わる。</w:t>
      </w:r>
    </w:p>
    <w:p>
      <w:pPr>
        <w:spacing w:after="80" w:before="0" w:line="300" w:lineRule="auto"/>
      </w:pPr>
      <w:r>
        <w:rPr>
          <w:rFonts w:ascii="游ゴシック" w:hAnsi="游ゴシック" w:eastAsia="游ゴシック"/>
          <w:b w:val="0"/>
          <w:color w:val="5B6B54"/>
          <w:sz w:val="16"/>
        </w:rPr>
        <w:t>出典：https://www.kokushikan.ac.jp/admission/undergraduate/guidebook/docs/admission_guidebook_2026.pdf　https://contact.kokushikan.ac.jp/faculty/Letters/about/file/Letters_education_AP.pdf（本文未確認）</w:t>
      </w:r>
    </w:p>
    <w:p>
      <w:pPr>
        <w:spacing w:after="80" w:before="200" w:line="300" w:lineRule="auto"/>
      </w:pPr>
      <w:r>
        <w:rPr>
          <w:rFonts w:ascii="游ゴシック" w:hAnsi="游ゴシック" w:eastAsia="游ゴシック"/>
          <w:b/>
          <w:color w:val="D9782D"/>
          <w:sz w:val="26"/>
        </w:rPr>
        <w:t xml:space="preserve">★ </w:t>
      </w:r>
      <w:r>
        <w:rPr>
          <w:rFonts w:ascii="游ゴシック" w:hAnsi="游ゴシック" w:eastAsia="游ゴシック"/>
          <w:b/>
          <w:color w:val="2C5F2D"/>
          <w:sz w:val="26"/>
        </w:rPr>
        <w:t>次回の課題</w:t>
      </w:r>
    </w:p>
    <w:p>
      <w:pPr>
        <w:spacing w:after="40" w:before="0" w:line="300" w:lineRule="auto"/>
      </w:pPr>
      <w:r>
        <w:rPr>
          <w:rFonts w:ascii="游ゴシック" w:hAnsi="游ゴシック" w:eastAsia="游ゴシック"/>
          <w:b/>
          <w:color w:val="D9782D"/>
          <w:sz w:val="21"/>
        </w:rPr>
        <w:t>1．</w:t>
      </w:r>
      <w:r>
        <w:rPr>
          <w:rFonts w:ascii="游ゴシック" w:hAnsi="游ゴシック" w:eastAsia="游ゴシック"/>
          <w:b w:val="0"/>
          <w:color w:val="23301F"/>
          <w:sz w:val="21"/>
        </w:rPr>
        <w:t>書き始める前に、設問の問い（今回は「重要性」）に一文で答えてから序論を書く</w:t>
      </w:r>
    </w:p>
    <w:p>
      <w:pPr>
        <w:spacing w:after="40" w:before="0" w:line="300" w:lineRule="auto"/>
      </w:pPr>
      <w:r>
        <w:rPr>
          <w:rFonts w:ascii="游ゴシック" w:hAnsi="游ゴシック" w:eastAsia="游ゴシック"/>
          <w:b/>
          <w:color w:val="D9782D"/>
          <w:sz w:val="21"/>
        </w:rPr>
        <w:t>2．</w:t>
      </w:r>
      <w:r>
        <w:rPr>
          <w:rFonts w:ascii="游ゴシック" w:hAnsi="游ゴシック" w:eastAsia="游ゴシック"/>
          <w:b w:val="0"/>
          <w:color w:val="23301F"/>
          <w:sz w:val="21"/>
        </w:rPr>
        <w:t>具体例のあとに「だから〜」と、主張とのつながりを一文で書く</w:t>
      </w:r>
    </w:p>
    <w:p>
      <w:pPr>
        <w:spacing w:after="40" w:before="0" w:line="300" w:lineRule="auto"/>
      </w:pPr>
      <w:r>
        <w:rPr>
          <w:rFonts w:ascii="游ゴシック" w:hAnsi="游ゴシック" w:eastAsia="游ゴシック"/>
          <w:b/>
          <w:color w:val="D9782D"/>
          <w:sz w:val="21"/>
        </w:rPr>
        <w:t>3．</w:t>
      </w:r>
      <w:r>
        <w:rPr>
          <w:rFonts w:ascii="游ゴシック" w:hAnsi="游ゴシック" w:eastAsia="游ゴシック"/>
          <w:b w:val="0"/>
          <w:color w:val="23301F"/>
          <w:sz w:val="21"/>
        </w:rPr>
        <w:t>数字・カタカナ語の表記（漢数字、マイバッグ）を見直す</w:t>
      </w:r>
    </w:p>
    <w:sectPr w:rsidR="00FC693F" w:rsidRPr="0006063C" w:rsidSect="00034616">
      <w:footerReference w:type="default" r:id="rId9"/>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color w:val="5B6B54"/>
        <w:sz w:val="16"/>
      </w:rPr>
      <w:t>小論文添削（ショー）</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