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jc w:val="center"/>
        <w:tblLayout w:type="fixed"/>
        <w:tblLook w:firstColumn="1" w:firstRow="1" w:lastColumn="0" w:lastRow="0" w:noHBand="0" w:noVBand="1" w:val="04A0"/>
      </w:tblPr>
      <w:tblGrid>
        <w:gridCol w:w="6237"/>
        <w:gridCol w:w="3402"/>
      </w:tblGrid>
      <w:tr>
        <w:tc>
          <w:tcPr>
            <w:tcW w:type="dxa" w:w="6236"/>
            <w:shd w:val="clear" w:color="auto" w:fill="2C5F2D"/>
            <w:vAlign w:val="center"/>
          </w:tcPr>
          <w:p>
            <w:pPr>
              <w:spacing w:after="0" w:line="288" w:lineRule="auto"/>
            </w:pPr>
            <w:r/>
            <w:r>
              <w:rPr>
                <w:rFonts w:ascii="游ゴシック" w:hAnsi="游ゴシック" w:eastAsia="游ゴシック"/>
                <w:b/>
                <w:color w:val="FFFFFF"/>
                <w:sz w:val="40"/>
              </w:rPr>
              <w:t>小論文 添削シート</w:t>
            </w:r>
          </w:p>
        </w:tc>
        <w:tc>
          <w:tcPr>
            <w:tcW w:type="dxa" w:w="3402"/>
            <w:shd w:val="clear" w:color="auto" w:fill="2C5F2D"/>
            <w:vAlign w:val="center"/>
          </w:tcPr>
          <w:p>
            <w:pPr>
              <w:spacing w:after="0" w:line="288" w:lineRule="auto"/>
              <w:jc w:val="right"/>
            </w:pPr>
            <w:r/>
            <w:r>
              <w:rPr>
                <w:rFonts w:ascii="游ゴシック" w:hAnsi="游ゴシック" w:eastAsia="游ゴシック"/>
                <w:b/>
                <w:color w:val="FFFFFF"/>
                <w:sz w:val="21"/>
              </w:rPr>
              <w:t>2026-10-17</w:t>
            </w:r>
          </w:p>
          <w:p>
            <w:pPr>
              <w:spacing w:after="0" w:line="288" w:lineRule="auto"/>
            </w:pPr>
            <w:r>
              <w:rPr>
                <w:rFonts w:ascii="游ゴシック" w:hAnsi="游ゴシック" w:eastAsia="游ゴシック"/>
                <w:b/>
                <w:color w:val="FFFFFF"/>
                <w:sz w:val="21"/>
              </w:rPr>
              <w:t>進ノ介</w:t>
            </w:r>
          </w:p>
        </w:tc>
      </w:tr>
    </w:tbl>
    <w:p>
      <w:pPr>
        <w:spacing w:after="40" w:before="0" w:line="300" w:lineRule="auto"/>
      </w:pP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134"/>
        <w:gridCol w:w="8505"/>
      </w:tblGrid>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志望</w:t>
            </w:r>
          </w:p>
        </w:tc>
        <w:tc>
          <w:tcPr>
            <w:tcW w:type="dxa" w:w="8504"/>
            <w:vAlign w:val="center"/>
          </w:tcPr>
          <w:p>
            <w:pPr>
              <w:spacing w:after="0" w:line="288" w:lineRule="auto"/>
            </w:pPr>
            <w:r/>
            <w:r>
              <w:rPr>
                <w:rFonts w:ascii="游ゴシック" w:hAnsi="游ゴシック" w:eastAsia="游ゴシック"/>
                <w:b w:val="0"/>
                <w:color w:val="23301F"/>
                <w:sz w:val="20"/>
              </w:rPr>
              <w:t>国士舘大学 21世紀アジア学部 総合型選抜 令和7年度 Ⅰ期（10月24日）</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題材</w:t>
            </w:r>
          </w:p>
        </w:tc>
        <w:tc>
          <w:tcPr>
            <w:tcW w:type="dxa" w:w="8504"/>
            <w:vAlign w:val="center"/>
          </w:tcPr>
          <w:p>
            <w:pPr>
              <w:spacing w:after="0" w:line="288" w:lineRule="auto"/>
            </w:pPr>
            <w:r/>
            <w:r>
              <w:rPr>
                <w:rFonts w:ascii="游ゴシック" w:hAnsi="游ゴシック" w:eastAsia="游ゴシック"/>
                <w:b w:val="0"/>
                <w:color w:val="23301F"/>
                <w:sz w:val="20"/>
              </w:rPr>
              <w:t>人生は宝くじ　／　ヨシタケシンスケ『思わず考えちゃう』</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設問</w:t>
            </w:r>
          </w:p>
        </w:tc>
        <w:tc>
          <w:tcPr>
            <w:tcW w:type="dxa" w:w="8504"/>
            <w:vAlign w:val="center"/>
          </w:tcPr>
          <w:p>
            <w:pPr>
              <w:spacing w:after="0" w:line="288" w:lineRule="auto"/>
            </w:pPr>
            <w:r/>
            <w:r>
              <w:rPr>
                <w:rFonts w:ascii="游ゴシック" w:hAnsi="游ゴシック" w:eastAsia="游ゴシック"/>
                <w:b w:val="0"/>
                <w:color w:val="23301F"/>
                <w:sz w:val="20"/>
              </w:rPr>
              <w:t>筆者の主張に対するあなたの意見を、具体的な経験や見聞きした事例をまじえて600字で述べなさい。</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字数</w:t>
            </w:r>
          </w:p>
        </w:tc>
        <w:tc>
          <w:tcPr>
            <w:tcW w:type="dxa" w:w="8504"/>
            <w:vAlign w:val="center"/>
          </w:tcPr>
          <w:p>
            <w:pPr>
              <w:spacing w:after="0" w:line="288" w:lineRule="auto"/>
            </w:pPr>
            <w:r/>
            <w:r>
              <w:rPr>
                <w:rFonts w:ascii="游ゴシック" w:hAnsi="游ゴシック" w:eastAsia="游ゴシック"/>
                <w:b w:val="0"/>
                <w:color w:val="23301F"/>
                <w:sz w:val="20"/>
              </w:rPr>
              <w:t>制限 600字以内　→　答案 558字（規定の範囲内）</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評価</w:t>
      </w:r>
    </w:p>
    <w:p>
      <w:pPr>
        <w:spacing w:after="80" w:before="0" w:line="300" w:lineRule="auto"/>
      </w:pPr>
      <w:r>
        <w:rPr>
          <w:rFonts w:ascii="游ゴシック" w:hAnsi="游ゴシック" w:eastAsia="游ゴシック"/>
          <w:b/>
          <w:color w:val="17321A"/>
          <w:sz w:val="24"/>
        </w:rPr>
        <w:t xml:space="preserve">総合 </w:t>
      </w:r>
      <w:r>
        <w:rPr>
          <w:rFonts w:ascii="游ゴシック" w:hAnsi="游ゴシック" w:eastAsia="游ゴシック"/>
          <w:b/>
          <w:color w:val="D9782D"/>
          <w:sz w:val="56"/>
        </w:rPr>
        <w:t>68</w:t>
      </w:r>
      <w:r>
        <w:rPr>
          <w:rFonts w:ascii="游ゴシック" w:hAnsi="游ゴシック" w:eastAsia="游ゴシック"/>
          <w:b/>
          <w:color w:val="17321A"/>
          <w:sz w:val="24"/>
        </w:rPr>
        <w:t xml:space="preserve"> / 100点</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2154"/>
        <w:gridCol w:w="1134"/>
        <w:gridCol w:w="6350"/>
      </w:tblGrid>
      <w:tr>
        <w:tc>
          <w:tcPr>
            <w:tcW w:type="dxa" w:w="2154"/>
            <w:shd w:val="clear" w:color="auto" w:fill="2C5F2D"/>
            <w:vAlign w:val="center"/>
          </w:tcPr>
          <w:p>
            <w:pPr>
              <w:spacing w:after="0" w:line="288" w:lineRule="auto"/>
              <w:jc w:val="center"/>
            </w:pPr>
            <w:r/>
            <w:r>
              <w:rPr>
                <w:rFonts w:ascii="游ゴシック" w:hAnsi="游ゴシック" w:eastAsia="游ゴシック"/>
                <w:b/>
                <w:color w:val="FFFFFF"/>
                <w:sz w:val="19"/>
              </w:rPr>
              <w:t>観点</w:t>
            </w:r>
          </w:p>
        </w:tc>
        <w:tc>
          <w:tcPr>
            <w:tcW w:type="dxa" w:w="1134"/>
            <w:shd w:val="clear" w:color="auto" w:fill="2C5F2D"/>
            <w:vAlign w:val="center"/>
          </w:tcPr>
          <w:p>
            <w:pPr>
              <w:spacing w:after="0" w:line="288" w:lineRule="auto"/>
              <w:jc w:val="center"/>
            </w:pPr>
            <w:r/>
            <w:r>
              <w:rPr>
                <w:rFonts w:ascii="游ゴシック" w:hAnsi="游ゴシック" w:eastAsia="游ゴシック"/>
                <w:b/>
                <w:color w:val="FFFFFF"/>
                <w:sz w:val="19"/>
              </w:rPr>
              <w:t>得点</w:t>
            </w:r>
          </w:p>
        </w:tc>
        <w:tc>
          <w:tcPr>
            <w:tcW w:type="dxa" w:w="6350"/>
            <w:shd w:val="clear" w:color="auto" w:fill="2C5F2D"/>
            <w:vAlign w:val="center"/>
          </w:tcPr>
          <w:p>
            <w:pPr>
              <w:spacing w:after="0" w:line="288" w:lineRule="auto"/>
              <w:jc w:val="center"/>
            </w:pPr>
            <w:r/>
            <w:r>
              <w:rPr>
                <w:rFonts w:ascii="游ゴシック" w:hAnsi="游ゴシック" w:eastAsia="游ゴシック"/>
                <w:b/>
                <w:color w:val="FFFFFF"/>
                <w:sz w:val="19"/>
              </w:rPr>
              <w:t>コメント</w:t>
            </w:r>
          </w:p>
        </w:tc>
      </w:tr>
      <w:tr>
        <w:tc>
          <w:tcPr>
            <w:tcW w:type="dxa" w:w="2154"/>
            <w:vAlign w:val="center"/>
          </w:tcPr>
          <w:p>
            <w:pPr>
              <w:spacing w:after="0" w:line="288" w:lineRule="auto"/>
            </w:pPr>
            <w:r/>
            <w:r>
              <w:rPr>
                <w:rFonts w:ascii="游ゴシック" w:hAnsi="游ゴシック" w:eastAsia="游ゴシック"/>
                <w:b/>
                <w:color w:val="17321A"/>
                <w:sz w:val="19"/>
              </w:rPr>
              <w:t>設問への応答</w:t>
            </w:r>
          </w:p>
        </w:tc>
        <w:tc>
          <w:tcPr>
            <w:tcW w:type="dxa" w:w="1134"/>
            <w:vAlign w:val="center"/>
          </w:tcPr>
          <w:p>
            <w:pPr>
              <w:spacing w:after="0" w:line="288" w:lineRule="auto"/>
              <w:jc w:val="center"/>
            </w:pPr>
            <w:r/>
            <w:r>
              <w:rPr>
                <w:rFonts w:ascii="游ゴシック" w:hAnsi="游ゴシック" w:eastAsia="游ゴシック"/>
                <w:b/>
                <w:color w:val="D9782D"/>
                <w:sz w:val="22"/>
              </w:rPr>
              <w:t>12 / 20</w:t>
            </w:r>
          </w:p>
        </w:tc>
        <w:tc>
          <w:tcPr>
            <w:tcW w:type="dxa" w:w="6350"/>
            <w:vAlign w:val="center"/>
          </w:tcPr>
          <w:p>
            <w:pPr>
              <w:spacing w:after="0" w:line="288" w:lineRule="auto"/>
            </w:pPr>
            <w:r/>
            <w:r>
              <w:rPr>
                <w:rFonts w:ascii="游ゴシック" w:hAnsi="游ゴシック" w:eastAsia="游ゴシック"/>
                <w:b w:val="0"/>
                <w:color w:val="23301F"/>
                <w:sz w:val="19"/>
              </w:rPr>
              <w:t>「すぐに答えを出さなくてもよい」は、筆者の「つらい経験も宝くじのようにいつか何かに化けるかもしれない」という主張に通じる。しかし筆者や宝くじのたとえに一度も触れておらず、課題文への意見になっているかが伝わらない。経験をまじえる指定は満たしている。</w:t>
            </w:r>
          </w:p>
        </w:tc>
      </w:tr>
      <w:tr>
        <w:tc>
          <w:tcPr>
            <w:tcW w:type="dxa" w:w="2154"/>
            <w:vAlign w:val="center"/>
          </w:tcPr>
          <w:p>
            <w:pPr>
              <w:spacing w:after="0" w:line="288" w:lineRule="auto"/>
            </w:pPr>
            <w:r/>
            <w:r>
              <w:rPr>
                <w:rFonts w:ascii="游ゴシック" w:hAnsi="游ゴシック" w:eastAsia="游ゴシック"/>
                <w:b/>
                <w:color w:val="17321A"/>
                <w:sz w:val="19"/>
              </w:rPr>
              <w:t>構成・論理</w:t>
            </w:r>
          </w:p>
        </w:tc>
        <w:tc>
          <w:tcPr>
            <w:tcW w:type="dxa" w:w="1134"/>
            <w:vAlign w:val="center"/>
          </w:tcPr>
          <w:p>
            <w:pPr>
              <w:spacing w:after="0" w:line="288" w:lineRule="auto"/>
              <w:jc w:val="center"/>
            </w:pPr>
            <w:r/>
            <w:r>
              <w:rPr>
                <w:rFonts w:ascii="游ゴシック" w:hAnsi="游ゴシック" w:eastAsia="游ゴシック"/>
                <w:b/>
                <w:color w:val="D9782D"/>
                <w:sz w:val="22"/>
              </w:rPr>
              <w:t>14 / 20</w:t>
            </w:r>
          </w:p>
        </w:tc>
        <w:tc>
          <w:tcPr>
            <w:tcW w:type="dxa" w:w="6350"/>
            <w:vAlign w:val="center"/>
          </w:tcPr>
          <w:p>
            <w:pPr>
              <w:spacing w:after="0" w:line="288" w:lineRule="auto"/>
            </w:pPr>
            <w:r/>
            <w:r>
              <w:rPr>
                <w:rFonts w:ascii="游ゴシック" w:hAnsi="游ゴシック" w:eastAsia="游ゴシック"/>
                <w:b w:val="0"/>
                <w:color w:val="23301F"/>
                <w:sz w:val="19"/>
              </w:rPr>
              <w:t>主張→例①進路→例②友人→まとめの形は良い。第3段落に「行動しなければ状況は変わらない」という譲歩が混ざり、段落の役割が重なっている。</w:t>
            </w:r>
          </w:p>
        </w:tc>
      </w:tr>
      <w:tr>
        <w:tc>
          <w:tcPr>
            <w:tcW w:type="dxa" w:w="2154"/>
            <w:vAlign w:val="center"/>
          </w:tcPr>
          <w:p>
            <w:pPr>
              <w:spacing w:after="0" w:line="288" w:lineRule="auto"/>
            </w:pPr>
            <w:r/>
            <w:r>
              <w:rPr>
                <w:rFonts w:ascii="游ゴシック" w:hAnsi="游ゴシック" w:eastAsia="游ゴシック"/>
                <w:b/>
                <w:color w:val="17321A"/>
                <w:sz w:val="19"/>
              </w:rPr>
              <w:t>根拠・具体性</w:t>
            </w:r>
          </w:p>
        </w:tc>
        <w:tc>
          <w:tcPr>
            <w:tcW w:type="dxa" w:w="1134"/>
            <w:vAlign w:val="center"/>
          </w:tcPr>
          <w:p>
            <w:pPr>
              <w:spacing w:after="0" w:line="288" w:lineRule="auto"/>
              <w:jc w:val="center"/>
            </w:pPr>
            <w:r/>
            <w:r>
              <w:rPr>
                <w:rFonts w:ascii="游ゴシック" w:hAnsi="游ゴシック" w:eastAsia="游ゴシック"/>
                <w:b/>
                <w:color w:val="D9782D"/>
                <w:sz w:val="22"/>
              </w:rPr>
              <w:t>15 / 20</w:t>
            </w:r>
          </w:p>
        </w:tc>
        <w:tc>
          <w:tcPr>
            <w:tcW w:type="dxa" w:w="6350"/>
            <w:vAlign w:val="center"/>
          </w:tcPr>
          <w:p>
            <w:pPr>
              <w:spacing w:after="0" w:line="288" w:lineRule="auto"/>
            </w:pPr>
            <w:r/>
            <w:r>
              <w:rPr>
                <w:rFonts w:ascii="游ゴシック" w:hAnsi="游ゴシック" w:eastAsia="游ゴシック"/>
                <w:b w:val="0"/>
                <w:color w:val="23301F"/>
                <w:sz w:val="19"/>
              </w:rPr>
              <w:t>進路選びと友人との意見の違いという身近な例が二つあり、説得力がある。進路の例は「私は」が抜けていて、自分の体験か一般論か分かりにくい。</w:t>
            </w:r>
          </w:p>
        </w:tc>
      </w:tr>
      <w:tr>
        <w:tc>
          <w:tcPr>
            <w:tcW w:type="dxa" w:w="2154"/>
            <w:vAlign w:val="center"/>
          </w:tcPr>
          <w:p>
            <w:pPr>
              <w:spacing w:after="0" w:line="288" w:lineRule="auto"/>
            </w:pPr>
            <w:r/>
            <w:r>
              <w:rPr>
                <w:rFonts w:ascii="游ゴシック" w:hAnsi="游ゴシック" w:eastAsia="游ゴシック"/>
                <w:b/>
                <w:color w:val="17321A"/>
                <w:sz w:val="19"/>
              </w:rPr>
              <w:t>学部・アドミッションポリシーとの適合</w:t>
            </w:r>
          </w:p>
        </w:tc>
        <w:tc>
          <w:tcPr>
            <w:tcW w:type="dxa" w:w="1134"/>
            <w:vAlign w:val="center"/>
          </w:tcPr>
          <w:p>
            <w:pPr>
              <w:spacing w:after="0" w:line="288" w:lineRule="auto"/>
              <w:jc w:val="center"/>
            </w:pPr>
            <w:r/>
            <w:r>
              <w:rPr>
                <w:rFonts w:ascii="游ゴシック" w:hAnsi="游ゴシック" w:eastAsia="游ゴシック"/>
                <w:b/>
                <w:color w:val="D9782D"/>
                <w:sz w:val="22"/>
              </w:rPr>
              <w:t>12 / 20</w:t>
            </w:r>
          </w:p>
        </w:tc>
        <w:tc>
          <w:tcPr>
            <w:tcW w:type="dxa" w:w="6350"/>
            <w:vAlign w:val="center"/>
          </w:tcPr>
          <w:p>
            <w:pPr>
              <w:spacing w:after="0" w:line="288" w:lineRule="auto"/>
            </w:pPr>
            <w:r/>
            <w:r>
              <w:rPr>
                <w:rFonts w:ascii="游ゴシック" w:hAnsi="游ゴシック" w:eastAsia="游ゴシック"/>
                <w:b w:val="0"/>
                <w:color w:val="23301F"/>
                <w:sz w:val="19"/>
              </w:rPr>
              <w:t>「他者を理解する」という結論は学部に合うが、21世紀アジア学部で何を学びたいか、世界で活躍する意志につながる一文がない。</w:t>
            </w:r>
          </w:p>
        </w:tc>
      </w:tr>
      <w:tr>
        <w:tc>
          <w:tcPr>
            <w:tcW w:type="dxa" w:w="2154"/>
            <w:vAlign w:val="center"/>
          </w:tcPr>
          <w:p>
            <w:pPr>
              <w:spacing w:after="0" w:line="288" w:lineRule="auto"/>
            </w:pPr>
            <w:r/>
            <w:r>
              <w:rPr>
                <w:rFonts w:ascii="游ゴシック" w:hAnsi="游ゴシック" w:eastAsia="游ゴシック"/>
                <w:b/>
                <w:color w:val="17321A"/>
                <w:sz w:val="19"/>
              </w:rPr>
              <w:t>表現・表記</w:t>
            </w:r>
          </w:p>
        </w:tc>
        <w:tc>
          <w:tcPr>
            <w:tcW w:type="dxa" w:w="1134"/>
            <w:vAlign w:val="center"/>
          </w:tcPr>
          <w:p>
            <w:pPr>
              <w:spacing w:after="0" w:line="288" w:lineRule="auto"/>
              <w:jc w:val="center"/>
            </w:pPr>
            <w:r/>
            <w:r>
              <w:rPr>
                <w:rFonts w:ascii="游ゴシック" w:hAnsi="游ゴシック" w:eastAsia="游ゴシック"/>
                <w:b/>
                <w:color w:val="D9782D"/>
                <w:sz w:val="22"/>
              </w:rPr>
              <w:t>15 / 20</w:t>
            </w:r>
          </w:p>
        </w:tc>
        <w:tc>
          <w:tcPr>
            <w:tcW w:type="dxa" w:w="6350"/>
            <w:vAlign w:val="center"/>
          </w:tcPr>
          <w:p>
            <w:pPr>
              <w:spacing w:after="0" w:line="288" w:lineRule="auto"/>
            </w:pPr>
            <w:r/>
            <w:r>
              <w:rPr>
                <w:rFonts w:ascii="游ゴシック" w:hAnsi="游ゴシック" w:eastAsia="游ゴシック"/>
                <w:b w:val="0"/>
                <w:color w:val="23301F"/>
                <w:sz w:val="19"/>
              </w:rPr>
              <w:t>だ・である調で統一され、字数も558字と十分。進路の例の最後の文が主語のないねじれ文になっている。読点の抜けが数か所ある。</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総評</w:t>
      </w:r>
    </w:p>
    <w:p>
      <w:pPr>
        <w:spacing w:after="80" w:before="0" w:line="300" w:lineRule="auto"/>
      </w:pPr>
      <w:r>
        <w:rPr>
          <w:rFonts w:ascii="游ゴシック" w:hAnsi="游ゴシック" w:eastAsia="游ゴシック"/>
          <w:b w:val="0"/>
          <w:color w:val="23301F"/>
          <w:sz w:val="21"/>
        </w:rPr>
        <w:t>【前提】設問文と字数（600字）は大学公式の過去問で確認した。課題文は「人生は宝くじ」というたとえで、つらい経験もいつか何かに化けるかもしれないと述べている。答案の「すぐに答えを出さなくてもよい」「答えが見つからない時間にも意味がある」はこの主張に通じていて、進路と友人の二つの経験、譲歩もそろった完成度の高い文章である。最大の課題は、筆者の主張に一度も触れていないこと。冒頭で筆者の主張を一文で示してから賛否を述べれば、設問にきちんと答えた答案になる。あわせて、進路の例の文のねじれを直し、結論で21世紀アジア学部での学びにつなげたい。</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良かったところ</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冒頭の一文で賛成の立場を明確に示し、すぐに理由を述べている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進路選びと友人との意見の違いという、二つの身近な具体例で主張を支えている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「考え続けるだけで行動しなければ状況は変わらない」と、反対側の視点にも目を配っている（譲歩）</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最後に「迷いを自分を知り他者を理解する機会に」と、前向きにまとめている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直すと伸びるところ</w:t>
      </w:r>
    </w:p>
    <w:p>
      <w:pPr>
        <w:spacing w:after="20" w:before="60" w:line="300" w:lineRule="auto"/>
      </w:pPr>
      <w:r>
        <w:rPr>
          <w:rFonts w:ascii="游ゴシック" w:hAnsi="游ゴシック" w:eastAsia="游ゴシック"/>
          <w:b/>
          <w:color w:val="17321A"/>
          <w:sz w:val="21"/>
        </w:rPr>
        <w:t>1. 書き出しで筆者の主張に触れる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「私は、人生の悩みや疑問には、すぐに答えを出さなくてもよいという考えに賛成である。」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設問は「筆者の主張に対するあなたの意見」。「筆者は、つらい経験も宝くじのように、いつか何かに化けるかもしれないと述べている。私はこの考えに賛成である」と、まず筆者の主張を一文で示す。何に賛成しているのかが採点者にはっきり伝わる。</w:t>
      </w:r>
    </w:p>
    <w:p>
      <w:pPr>
        <w:spacing w:after="20" w:before="60" w:line="300" w:lineRule="auto"/>
      </w:pPr>
      <w:r>
        <w:rPr>
          <w:rFonts w:ascii="游ゴシック" w:hAnsi="游ゴシック" w:eastAsia="游ゴシック"/>
          <w:b/>
          <w:color w:val="17321A"/>
          <w:sz w:val="21"/>
        </w:rPr>
        <w:t>2. 進路の例の最後の文のねじれを直す</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「けれども学べる内容や将来やりたい仕事を調べていくうちに名前や評判だけで選ぶのではなく考えを整理するために必要な時間だったのである。」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何が「必要な時間だった」のか、主語がない。「調べるうちに、名前や評判ではなく学びたいことで選ぶという軸が見えてきた。迷った時間は、考えを整理するために必要な時間だったのである」と2文に分ける。</w:t>
      </w:r>
    </w:p>
    <w:p>
      <w:pPr>
        <w:spacing w:after="20" w:before="60" w:line="300" w:lineRule="auto"/>
      </w:pPr>
      <w:r>
        <w:rPr>
          <w:rFonts w:ascii="游ゴシック" w:hAnsi="游ゴシック" w:eastAsia="游ゴシック"/>
          <w:b/>
          <w:color w:val="17321A"/>
          <w:sz w:val="21"/>
        </w:rPr>
        <w:t>3. 譲歩を独立した段落にする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「考え続けるだけで行動しなければ、状況は変わらない。」</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友人の例の段落の中に入っているため、話が切り替わったことが伝わりにくい。「もちろん、〜」で始まる段落として独立させると、反論への目配りがはっきり評価される。</w:t>
      </w:r>
    </w:p>
    <w:p>
      <w:pPr>
        <w:spacing w:after="20" w:before="60" w:line="300" w:lineRule="auto"/>
      </w:pPr>
      <w:r>
        <w:rPr>
          <w:rFonts w:ascii="游ゴシック" w:hAnsi="游ゴシック" w:eastAsia="游ゴシック"/>
          <w:b/>
          <w:color w:val="17321A"/>
          <w:sz w:val="21"/>
        </w:rPr>
        <w:t>4. 体験には「私は」を入れる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「例えば、進路を決めるとき、周囲の友人が」</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「自分だけが遅れているように感じることがある」（一般論）と「すぐには決められなかった」（自分の体験）が混ざっている。「例えば、私は進路を決めるとき、〜と感じた」と自分の体験として書く。</w:t>
      </w:r>
    </w:p>
    <w:p>
      <w:pPr>
        <w:spacing w:after="20" w:before="60" w:line="300" w:lineRule="auto"/>
      </w:pPr>
      <w:r>
        <w:rPr>
          <w:rFonts w:ascii="游ゴシック" w:hAnsi="游ゴシック" w:eastAsia="游ゴシック"/>
          <w:b/>
          <w:color w:val="17321A"/>
          <w:sz w:val="21"/>
        </w:rPr>
        <w:t>5. 結論で学部での学びにつなげる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「私は、迷いを失敗と捉えず、自分を知り、他者を理解する機会として受け止めたい。」</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結論が38字と短い。「21世紀アジア学部で多様な価値観に触れながら、答えを急がずに考え抜く力を磨きたい」など、学部での学びを一文足す。</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あなたの答案（558字）</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序論</w:t>
            </w:r>
          </w:p>
          <w:p>
            <w:pPr>
              <w:spacing w:after="0" w:line="288" w:lineRule="auto"/>
            </w:pPr>
            <w:r>
              <w:rPr>
                <w:rFonts w:ascii="游ゴシック" w:hAnsi="游ゴシック" w:eastAsia="游ゴシック"/>
                <w:b/>
                <w:color w:val="2C5F2D"/>
                <w:sz w:val="19"/>
              </w:rPr>
              <w:t>132字</w:t>
            </w:r>
          </w:p>
        </w:tc>
        <w:tc>
          <w:tcPr>
            <w:tcW w:type="dxa" w:w="8277"/>
            <w:vAlign w:val="center"/>
          </w:tcPr>
          <w:p>
            <w:pPr>
              <w:spacing w:after="0" w:line="288" w:lineRule="auto"/>
            </w:pPr>
            <w:r/>
            <w:r>
              <w:rPr>
                <w:rFonts w:ascii="游明朝" w:hAnsi="游明朝" w:eastAsia="游明朝"/>
                <w:b w:val="0"/>
                <w:color w:val="23301F"/>
                <w:sz w:val="21"/>
              </w:rPr>
              <w:t>私は、人生の悩みや疑問には、すぐに答えを出さなくてもよいという考えに賛成である。進路や人間関係について、早く正解を見つけなければならないと思いがちである。しかし時間をかけて考えることで、以前は気づかなかった選択肢や、自分が本当に大切にしたいことが見えてくるからだ。</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本論①</w:t>
            </w:r>
          </w:p>
          <w:p>
            <w:pPr>
              <w:spacing w:after="0" w:line="288" w:lineRule="auto"/>
            </w:pPr>
            <w:r>
              <w:rPr>
                <w:rFonts w:ascii="游ゴシック" w:hAnsi="游ゴシック" w:eastAsia="游ゴシック"/>
                <w:b/>
                <w:color w:val="2C5F2D"/>
                <w:sz w:val="19"/>
              </w:rPr>
              <w:t>155字</w:t>
            </w:r>
          </w:p>
        </w:tc>
        <w:tc>
          <w:tcPr>
            <w:tcW w:type="dxa" w:w="8277"/>
            <w:vAlign w:val="center"/>
          </w:tcPr>
          <w:p>
            <w:pPr>
              <w:spacing w:after="0" w:line="288" w:lineRule="auto"/>
            </w:pPr>
            <w:r/>
            <w:r>
              <w:rPr>
                <w:rFonts w:ascii="游明朝" w:hAnsi="游明朝" w:eastAsia="游明朝"/>
                <w:b w:val="0"/>
                <w:color w:val="23301F"/>
                <w:sz w:val="21"/>
              </w:rPr>
              <w:t>例えば、進路を決めるとき、周囲の友人が志望校や将来の職業を次々と決めていくと、自分だけが遅れているように感じることがある。何を基準に進路を選ぶべきか迷い、すぐには決められなかった。けれども学べる内容や将来やりたい仕事を調べていくうちに名前や評判だけで選ぶのではなく考えを整理するために必要な時間だったのである。</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本論②</w:t>
            </w:r>
          </w:p>
          <w:p>
            <w:pPr>
              <w:spacing w:after="0" w:line="288" w:lineRule="auto"/>
            </w:pPr>
            <w:r>
              <w:rPr>
                <w:rFonts w:ascii="游ゴシック" w:hAnsi="游ゴシック" w:eastAsia="游ゴシック"/>
                <w:b/>
                <w:color w:val="2C5F2D"/>
                <w:sz w:val="19"/>
              </w:rPr>
              <w:t>233字</w:t>
            </w:r>
          </w:p>
        </w:tc>
        <w:tc>
          <w:tcPr>
            <w:tcW w:type="dxa" w:w="8277"/>
            <w:vAlign w:val="center"/>
          </w:tcPr>
          <w:p>
            <w:pPr>
              <w:spacing w:after="0" w:line="288" w:lineRule="auto"/>
            </w:pPr>
            <w:r/>
            <w:r>
              <w:rPr>
                <w:rFonts w:ascii="游明朝" w:hAnsi="游明朝" w:eastAsia="游明朝"/>
                <w:b w:val="0"/>
                <w:color w:val="23301F"/>
                <w:sz w:val="21"/>
              </w:rPr>
              <w:t>また、友人との意見の違いも、すぐにどちらが正しいか決める必要はないと思う。相手の考えを聞いてみると、自分とは違う経験や価値観が背景にあると理解することがある。最初は理解できなくても、時間を置いて考えることで、相手の立場を想像できるようになる。考え続けるだけで行動しなければ、状況は変わらない。期限のあることには計画的に取り組み、必要なときには周囲に相談することも大切だ。それでも、すべての疑問にすぐ答えを出そうと焦る必要はない。答えが見つからない時間にも意味がある。</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結論</w:t>
            </w:r>
          </w:p>
          <w:p>
            <w:pPr>
              <w:spacing w:after="0" w:line="288" w:lineRule="auto"/>
            </w:pPr>
            <w:r>
              <w:rPr>
                <w:rFonts w:ascii="游ゴシック" w:hAnsi="游ゴシック" w:eastAsia="游ゴシック"/>
                <w:b/>
                <w:color w:val="2C5F2D"/>
                <w:sz w:val="19"/>
              </w:rPr>
              <w:t>38字</w:t>
            </w:r>
          </w:p>
        </w:tc>
        <w:tc>
          <w:tcPr>
            <w:tcW w:type="dxa" w:w="8277"/>
            <w:vAlign w:val="center"/>
          </w:tcPr>
          <w:p>
            <w:pPr>
              <w:spacing w:after="0" w:line="288" w:lineRule="auto"/>
            </w:pPr>
            <w:r/>
            <w:r>
              <w:rPr>
                <w:rFonts w:ascii="游明朝" w:hAnsi="游明朝" w:eastAsia="游明朝"/>
                <w:b w:val="0"/>
                <w:color w:val="23301F"/>
                <w:sz w:val="21"/>
              </w:rPr>
              <w:t>私は、迷いを失敗と捉えず、自分を知り、他者を理解する機会として受け止めたい。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表記・表現の直し</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3402"/>
        <w:gridCol w:w="3402"/>
        <w:gridCol w:w="2835"/>
      </w:tblGrid>
      <w:tr>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答案</w:t>
            </w:r>
          </w:p>
        </w:tc>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直し</w:t>
            </w:r>
          </w:p>
        </w:tc>
        <w:tc>
          <w:tcPr>
            <w:tcW w:type="dxa" w:w="2835"/>
            <w:shd w:val="clear" w:color="auto" w:fill="2C5F2D"/>
            <w:vAlign w:val="center"/>
          </w:tcPr>
          <w:p>
            <w:pPr>
              <w:spacing w:after="0" w:line="288" w:lineRule="auto"/>
              <w:jc w:val="center"/>
            </w:pPr>
            <w:r/>
            <w:r>
              <w:rPr>
                <w:rFonts w:ascii="游ゴシック" w:hAnsi="游ゴシック" w:eastAsia="游ゴシック"/>
                <w:b/>
                <w:color w:val="FFFFFF"/>
                <w:sz w:val="19"/>
              </w:rPr>
              <w:t>理由</w:t>
            </w:r>
          </w:p>
        </w:tc>
      </w:tr>
      <w:tr>
        <w:tc>
          <w:tcPr>
            <w:tcW w:type="dxa" w:w="3402"/>
            <w:vAlign w:val="center"/>
          </w:tcPr>
          <w:p>
            <w:pPr>
              <w:spacing w:after="0" w:line="288" w:lineRule="auto"/>
            </w:pPr>
            <w:r/>
            <w:r>
              <w:rPr>
                <w:rFonts w:ascii="游明朝" w:hAnsi="游明朝" w:eastAsia="游明朝"/>
                <w:b w:val="0"/>
                <w:color w:val="23301F"/>
                <w:sz w:val="19"/>
              </w:rPr>
              <w:t>早く正解を見つけなければならないと思いがちである。</w:t>
            </w:r>
          </w:p>
        </w:tc>
        <w:tc>
          <w:tcPr>
            <w:tcW w:type="dxa" w:w="3402"/>
            <w:vAlign w:val="center"/>
          </w:tcPr>
          <w:p>
            <w:pPr>
              <w:spacing w:after="0" w:line="288" w:lineRule="auto"/>
            </w:pPr>
            <w:r/>
            <w:r>
              <w:rPr>
                <w:rFonts w:ascii="游明朝" w:hAnsi="游明朝" w:eastAsia="游明朝"/>
                <w:b/>
                <w:color w:val="2C5F2D"/>
                <w:sz w:val="19"/>
              </w:rPr>
              <w:t>私たちは進路や人間関係について、早く正解を見つけなければならないと思いがちである。</w:t>
            </w:r>
          </w:p>
        </w:tc>
        <w:tc>
          <w:tcPr>
            <w:tcW w:type="dxa" w:w="2835"/>
            <w:vAlign w:val="center"/>
          </w:tcPr>
          <w:p>
            <w:pPr>
              <w:spacing w:after="0" w:line="288" w:lineRule="auto"/>
            </w:pPr>
            <w:r/>
            <w:r>
              <w:rPr>
                <w:rFonts w:ascii="游ゴシック" w:hAnsi="游ゴシック" w:eastAsia="游ゴシック"/>
                <w:b w:val="0"/>
                <w:color w:val="23301F"/>
                <w:sz w:val="18"/>
              </w:rPr>
              <w:t>誰が「思いがち」なのか主語を補う</w:t>
            </w:r>
          </w:p>
        </w:tc>
      </w:tr>
      <w:tr>
        <w:tc>
          <w:tcPr>
            <w:tcW w:type="dxa" w:w="3402"/>
            <w:vAlign w:val="center"/>
          </w:tcPr>
          <w:p>
            <w:pPr>
              <w:spacing w:after="0" w:line="288" w:lineRule="auto"/>
            </w:pPr>
            <w:r/>
            <w:r>
              <w:rPr>
                <w:rFonts w:ascii="游明朝" w:hAnsi="游明朝" w:eastAsia="游明朝"/>
                <w:b w:val="0"/>
                <w:color w:val="23301F"/>
                <w:sz w:val="19"/>
              </w:rPr>
              <w:t>しかし時間をかけて考えることで</w:t>
            </w:r>
          </w:p>
        </w:tc>
        <w:tc>
          <w:tcPr>
            <w:tcW w:type="dxa" w:w="3402"/>
            <w:vAlign w:val="center"/>
          </w:tcPr>
          <w:p>
            <w:pPr>
              <w:spacing w:after="0" w:line="288" w:lineRule="auto"/>
            </w:pPr>
            <w:r/>
            <w:r>
              <w:rPr>
                <w:rFonts w:ascii="游明朝" w:hAnsi="游明朝" w:eastAsia="游明朝"/>
                <w:b/>
                <w:color w:val="2C5F2D"/>
                <w:sz w:val="19"/>
              </w:rPr>
              <w:t>しかし、時間をかけて考えることで</w:t>
            </w:r>
          </w:p>
        </w:tc>
        <w:tc>
          <w:tcPr>
            <w:tcW w:type="dxa" w:w="2835"/>
            <w:vAlign w:val="center"/>
          </w:tcPr>
          <w:p>
            <w:pPr>
              <w:spacing w:after="0" w:line="288" w:lineRule="auto"/>
            </w:pPr>
            <w:r/>
            <w:r>
              <w:rPr>
                <w:rFonts w:ascii="游ゴシック" w:hAnsi="游ゴシック" w:eastAsia="游ゴシック"/>
                <w:b w:val="0"/>
                <w:color w:val="23301F"/>
                <w:sz w:val="18"/>
              </w:rPr>
              <w:t>接続詞のあとに読点</w:t>
            </w:r>
          </w:p>
        </w:tc>
      </w:tr>
      <w:tr>
        <w:tc>
          <w:tcPr>
            <w:tcW w:type="dxa" w:w="3402"/>
            <w:vAlign w:val="center"/>
          </w:tcPr>
          <w:p>
            <w:pPr>
              <w:spacing w:after="0" w:line="288" w:lineRule="auto"/>
            </w:pPr>
            <w:r/>
            <w:r>
              <w:rPr>
                <w:rFonts w:ascii="游明朝" w:hAnsi="游明朝" w:eastAsia="游明朝"/>
                <w:b w:val="0"/>
                <w:color w:val="23301F"/>
                <w:sz w:val="19"/>
              </w:rPr>
              <w:t>調べていくうちに名前や評判だけで</w:t>
            </w:r>
          </w:p>
        </w:tc>
        <w:tc>
          <w:tcPr>
            <w:tcW w:type="dxa" w:w="3402"/>
            <w:vAlign w:val="center"/>
          </w:tcPr>
          <w:p>
            <w:pPr>
              <w:spacing w:after="0" w:line="288" w:lineRule="auto"/>
            </w:pPr>
            <w:r/>
            <w:r>
              <w:rPr>
                <w:rFonts w:ascii="游明朝" w:hAnsi="游明朝" w:eastAsia="游明朝"/>
                <w:b/>
                <w:color w:val="2C5F2D"/>
                <w:sz w:val="19"/>
              </w:rPr>
              <w:t>調べるうちに、名前や評判だけで</w:t>
            </w:r>
          </w:p>
        </w:tc>
        <w:tc>
          <w:tcPr>
            <w:tcW w:type="dxa" w:w="2835"/>
            <w:vAlign w:val="center"/>
          </w:tcPr>
          <w:p>
            <w:pPr>
              <w:spacing w:after="0" w:line="288" w:lineRule="auto"/>
            </w:pPr>
            <w:r/>
            <w:r>
              <w:rPr>
                <w:rFonts w:ascii="游ゴシック" w:hAnsi="游ゴシック" w:eastAsia="游ゴシック"/>
                <w:b w:val="0"/>
                <w:color w:val="23301F"/>
                <w:sz w:val="18"/>
              </w:rPr>
              <w:t>読点がなく一文が長い</w:t>
            </w:r>
          </w:p>
        </w:tc>
      </w:tr>
      <w:tr>
        <w:tc>
          <w:tcPr>
            <w:tcW w:type="dxa" w:w="3402"/>
            <w:vAlign w:val="center"/>
          </w:tcPr>
          <w:p>
            <w:pPr>
              <w:spacing w:after="0" w:line="288" w:lineRule="auto"/>
            </w:pPr>
            <w:r/>
            <w:r>
              <w:rPr>
                <w:rFonts w:ascii="游明朝" w:hAnsi="游明朝" w:eastAsia="游明朝"/>
                <w:b w:val="0"/>
                <w:color w:val="23301F"/>
                <w:sz w:val="19"/>
              </w:rPr>
              <w:t>選ぶのではなく考えを整理するために必要な時間だったのである。</w:t>
            </w:r>
          </w:p>
        </w:tc>
        <w:tc>
          <w:tcPr>
            <w:tcW w:type="dxa" w:w="3402"/>
            <w:vAlign w:val="center"/>
          </w:tcPr>
          <w:p>
            <w:pPr>
              <w:spacing w:after="0" w:line="288" w:lineRule="auto"/>
            </w:pPr>
            <w:r/>
            <w:r>
              <w:rPr>
                <w:rFonts w:ascii="游明朝" w:hAnsi="游明朝" w:eastAsia="游明朝"/>
                <w:b/>
                <w:color w:val="2C5F2D"/>
                <w:sz w:val="19"/>
              </w:rPr>
              <w:t>（2文に分ける：改善点1を参照）</w:t>
            </w:r>
          </w:p>
        </w:tc>
        <w:tc>
          <w:tcPr>
            <w:tcW w:type="dxa" w:w="2835"/>
            <w:vAlign w:val="center"/>
          </w:tcPr>
          <w:p>
            <w:pPr>
              <w:spacing w:after="0" w:line="288" w:lineRule="auto"/>
            </w:pPr>
            <w:r/>
            <w:r>
              <w:rPr>
                <w:rFonts w:ascii="游ゴシック" w:hAnsi="游ゴシック" w:eastAsia="游ゴシック"/>
                <w:b w:val="0"/>
                <w:color w:val="23301F"/>
                <w:sz w:val="18"/>
              </w:rPr>
              <w:t>主語のないねじれ文</w:t>
            </w:r>
          </w:p>
        </w:tc>
      </w:tr>
      <w:tr>
        <w:tc>
          <w:tcPr>
            <w:tcW w:type="dxa" w:w="3402"/>
            <w:vAlign w:val="center"/>
          </w:tcPr>
          <w:p>
            <w:pPr>
              <w:spacing w:after="0" w:line="288" w:lineRule="auto"/>
            </w:pPr>
            <w:r/>
            <w:r>
              <w:rPr>
                <w:rFonts w:ascii="游明朝" w:hAnsi="游明朝" w:eastAsia="游明朝"/>
                <w:b w:val="0"/>
                <w:color w:val="23301F"/>
                <w:sz w:val="19"/>
              </w:rPr>
              <w:t>自分とは違う経験や価値観が背景にあると理解することがある。</w:t>
            </w:r>
          </w:p>
        </w:tc>
        <w:tc>
          <w:tcPr>
            <w:tcW w:type="dxa" w:w="3402"/>
            <w:vAlign w:val="center"/>
          </w:tcPr>
          <w:p>
            <w:pPr>
              <w:spacing w:after="0" w:line="288" w:lineRule="auto"/>
            </w:pPr>
            <w:r/>
            <w:r>
              <w:rPr>
                <w:rFonts w:ascii="游明朝" w:hAnsi="游明朝" w:eastAsia="游明朝"/>
                <w:b/>
                <w:color w:val="2C5F2D"/>
                <w:sz w:val="19"/>
              </w:rPr>
              <w:t>自分とは違う経験や価値観が背景にあると分かることがある。</w:t>
            </w:r>
          </w:p>
        </w:tc>
        <w:tc>
          <w:tcPr>
            <w:tcW w:type="dxa" w:w="2835"/>
            <w:vAlign w:val="center"/>
          </w:tcPr>
          <w:p>
            <w:pPr>
              <w:spacing w:after="0" w:line="288" w:lineRule="auto"/>
            </w:pPr>
            <w:r/>
            <w:r>
              <w:rPr>
                <w:rFonts w:ascii="游ゴシック" w:hAnsi="游ゴシック" w:eastAsia="游ゴシック"/>
                <w:b w:val="0"/>
                <w:color w:val="23301F"/>
                <w:sz w:val="18"/>
              </w:rPr>
              <w:t>直後の「最初は理解できなくても」と「理解」が重なる</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構成の見直し（Q3 段落メモ）</w:t>
      </w:r>
    </w:p>
    <w:p>
      <w:pPr>
        <w:spacing w:after="80" w:before="0" w:line="300" w:lineRule="auto"/>
      </w:pPr>
      <w:r>
        <w:rPr>
          <w:rFonts w:ascii="游ゴシック" w:hAnsi="游ゴシック" w:eastAsia="游ゴシック"/>
          <w:b w:val="0"/>
          <w:color w:val="5B6B54"/>
          <w:sz w:val="19"/>
        </w:rPr>
        <w:t>左があなたの答案の骨組み、右がおすすめの骨組み。書く前にこのメモを作れば、構成は安定する。</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4819"/>
        <w:gridCol w:w="4819"/>
      </w:tblGrid>
      <w:tr>
        <w:tc>
          <w:tcPr>
            <w:tcW w:type="dxa" w:w="4819"/>
            <w:shd w:val="clear" w:color="auto" w:fill="2C5F2D"/>
            <w:vAlign w:val="center"/>
          </w:tcPr>
          <w:p>
            <w:pPr>
              <w:spacing w:after="0" w:line="288" w:lineRule="auto"/>
              <w:jc w:val="center"/>
            </w:pPr>
            <w:r/>
            <w:r>
              <w:rPr>
                <w:rFonts w:ascii="游ゴシック" w:hAnsi="游ゴシック" w:eastAsia="游ゴシック"/>
                <w:b/>
                <w:color w:val="FFFFFF"/>
                <w:sz w:val="19"/>
              </w:rPr>
              <w:t>あなたの答案</w:t>
            </w:r>
          </w:p>
        </w:tc>
        <w:tc>
          <w:tcPr>
            <w:tcW w:type="dxa" w:w="4819"/>
            <w:shd w:val="clear" w:color="auto" w:fill="D9782D"/>
            <w:vAlign w:val="center"/>
          </w:tcPr>
          <w:p>
            <w:pPr>
              <w:spacing w:after="0" w:line="288" w:lineRule="auto"/>
              <w:jc w:val="center"/>
            </w:pPr>
            <w:r/>
            <w:r>
              <w:rPr>
                <w:rFonts w:ascii="游ゴシック" w:hAnsi="游ゴシック" w:eastAsia="游ゴシック"/>
                <w:b/>
                <w:color w:val="FFFFFF"/>
                <w:sz w:val="19"/>
              </w:rPr>
              <w:t>おすすめの構成メモ</w:t>
            </w:r>
          </w:p>
        </w:tc>
      </w:tr>
      <w:tr>
        <w:tc>
          <w:tcPr>
            <w:tcW w:type="dxa" w:w="4819"/>
            <w:vAlign w:val="center"/>
          </w:tcPr>
          <w:p>
            <w:pPr>
              <w:spacing w:after="0" w:line="288" w:lineRule="auto"/>
            </w:pPr>
            <w:r/>
            <w:r>
              <w:rPr>
                <w:rFonts w:ascii="游ゴシック" w:hAnsi="游ゴシック" w:eastAsia="游ゴシック"/>
                <w:b w:val="0"/>
                <w:color w:val="23301F"/>
                <w:sz w:val="19"/>
              </w:rPr>
              <w:t>【序論】賛成（主張）＋理由：時間をかけると選択肢や大切なことが見える</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【序論】賛成（主張）＋理由：時間をかけると選択肢・大切なことが見える</w:t>
            </w:r>
          </w:p>
        </w:tc>
      </w:tr>
      <w:tr>
        <w:tc>
          <w:tcPr>
            <w:tcW w:type="dxa" w:w="4819"/>
            <w:vAlign w:val="center"/>
          </w:tcPr>
          <w:p>
            <w:pPr>
              <w:spacing w:after="0" w:line="288" w:lineRule="auto"/>
            </w:pPr>
            <w:r/>
            <w:r>
              <w:rPr>
                <w:rFonts w:ascii="游ゴシック" w:hAnsi="游ゴシック" w:eastAsia="游ゴシック"/>
                <w:b w:val="0"/>
                <w:color w:val="23301F"/>
                <w:sz w:val="19"/>
              </w:rPr>
              <w:t>【本論①】例：進路選び → 迷ったが調べて考えを整理（文がねじれ）</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【本論①】体験：私は進路で迷った → 調べるうちに自分の軸 → 必要な時間だった</w:t>
            </w:r>
          </w:p>
        </w:tc>
      </w:tr>
      <w:tr>
        <w:tc>
          <w:tcPr>
            <w:tcW w:type="dxa" w:w="4819"/>
            <w:vAlign w:val="center"/>
          </w:tcPr>
          <w:p>
            <w:pPr>
              <w:spacing w:after="0" w:line="288" w:lineRule="auto"/>
            </w:pPr>
            <w:r/>
            <w:r>
              <w:rPr>
                <w:rFonts w:ascii="游ゴシック" w:hAnsi="游ゴシック" w:eastAsia="游ゴシック"/>
                <w:b w:val="0"/>
                <w:color w:val="23301F"/>
                <w:sz w:val="19"/>
              </w:rPr>
              <w:t>【本論②】例：友人との意見の違い → 時間を置くと相手を想像できる／譲歩：行動も必要（混在）</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【本論②】例：友人との意見の違い → 背景を知り、時間を置くと相手を想像できる</w:t>
            </w:r>
          </w:p>
        </w:tc>
      </w:tr>
      <w:tr>
        <w:tc>
          <w:tcPr>
            <w:tcW w:type="dxa" w:w="4819"/>
            <w:vAlign w:val="center"/>
          </w:tcPr>
          <w:p>
            <w:pPr>
              <w:spacing w:after="0" w:line="288" w:lineRule="auto"/>
            </w:pPr>
            <w:r/>
            <w:r>
              <w:rPr>
                <w:rFonts w:ascii="游ゴシック" w:hAnsi="游ゴシック" w:eastAsia="游ゴシック"/>
                <w:b w:val="0"/>
                <w:color w:val="23301F"/>
                <w:sz w:val="19"/>
              </w:rPr>
              <w:t>【結論】迷いを自分を知り他者を理解する機会に（短い）</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【本論③】譲歩：もちろん行動も必要（期限・相談）→ それでも答えのない時間に意味</w:t>
            </w:r>
          </w:p>
        </w:tc>
      </w:tr>
      <w:tr>
        <w:tc>
          <w:tcPr>
            <w:tcW w:type="dxa" w:w="4819"/>
          </w:tcP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【結論】迷いは自分と他者を知る機会 → 学部で多様な価値観に触れ、考え抜く力を磨く</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書き直し例（590字）</w:t>
      </w:r>
    </w:p>
    <w:p>
      <w:pPr>
        <w:spacing w:after="80" w:before="0" w:line="300" w:lineRule="auto"/>
      </w:pPr>
      <w:r>
        <w:rPr>
          <w:rFonts w:ascii="游ゴシック" w:hAnsi="游ゴシック" w:eastAsia="游ゴシック"/>
          <w:b w:val="0"/>
          <w:color w:val="5B6B54"/>
          <w:sz w:val="19"/>
        </w:rPr>
        <w:t>あなたの考えを生かしたまま直した一例。丸写しせず、どこが変わったかを比べて読むこと。</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序論</w:t>
            </w:r>
          </w:p>
          <w:p>
            <w:pPr>
              <w:spacing w:after="0" w:line="288" w:lineRule="auto"/>
            </w:pPr>
            <w:r>
              <w:rPr>
                <w:rFonts w:ascii="游ゴシック" w:hAnsi="游ゴシック" w:eastAsia="游ゴシック"/>
                <w:b/>
                <w:color w:val="2C5F2D"/>
                <w:sz w:val="19"/>
              </w:rPr>
              <w:t>147字</w:t>
            </w:r>
          </w:p>
        </w:tc>
        <w:tc>
          <w:tcPr>
            <w:tcW w:type="dxa" w:w="8277"/>
            <w:vAlign w:val="center"/>
          </w:tcPr>
          <w:p>
            <w:pPr>
              <w:spacing w:after="0" w:line="288" w:lineRule="auto"/>
            </w:pPr>
            <w:r/>
            <w:r>
              <w:rPr>
                <w:rFonts w:ascii="游明朝" w:hAnsi="游明朝" w:eastAsia="游明朝"/>
                <w:b w:val="0"/>
                <w:color w:val="23301F"/>
                <w:sz w:val="21"/>
              </w:rPr>
              <w:t>筆者は、つらい経験も宝くじのように、いつか何かに化けるかもしれないと考えれば乗り越えられると述べている。私はこの考えに賛成であり、人生の悩みや疑問には、すぐに答えを出さなくてもよいと考える。時間をかけて考えることで、以前は気づかなかった選択肢や、自分が本当に大切にしたいことが見えてくるからだ。</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本論①</w:t>
            </w:r>
          </w:p>
          <w:p>
            <w:pPr>
              <w:spacing w:after="0" w:line="288" w:lineRule="auto"/>
            </w:pPr>
            <w:r>
              <w:rPr>
                <w:rFonts w:ascii="游ゴシック" w:hAnsi="游ゴシック" w:eastAsia="游ゴシック"/>
                <w:b/>
                <w:color w:val="2C5F2D"/>
                <w:sz w:val="19"/>
              </w:rPr>
              <w:t>166字</w:t>
            </w:r>
          </w:p>
        </w:tc>
        <w:tc>
          <w:tcPr>
            <w:tcW w:type="dxa" w:w="8277"/>
            <w:vAlign w:val="center"/>
          </w:tcPr>
          <w:p>
            <w:pPr>
              <w:spacing w:after="0" w:line="288" w:lineRule="auto"/>
            </w:pPr>
            <w:r/>
            <w:r>
              <w:rPr>
                <w:rFonts w:ascii="游明朝" w:hAnsi="游明朝" w:eastAsia="游明朝"/>
                <w:b w:val="0"/>
                <w:color w:val="23301F"/>
                <w:sz w:val="21"/>
              </w:rPr>
              <w:t>例えば、私は進路を決めるとき、周囲の友人が志望校を次々と決めていく中で、自分だけが遅れているように感じた。何を基準に選ぶべきか迷い、すぐには決められなかった。けれども、学べる内容や将来の仕事を調べるうちに、名前や評判ではなく、学びたいことで選ぶという自分の軸が見えてきた。迷った時間は、考えを整理するために必要な時間だったのであ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本論②</w:t>
            </w:r>
          </w:p>
          <w:p>
            <w:pPr>
              <w:spacing w:after="0" w:line="288" w:lineRule="auto"/>
            </w:pPr>
            <w:r>
              <w:rPr>
                <w:rFonts w:ascii="游ゴシック" w:hAnsi="游ゴシック" w:eastAsia="游ゴシック"/>
                <w:b/>
                <w:color w:val="2C5F2D"/>
                <w:sz w:val="19"/>
              </w:rPr>
              <w:t>103字</w:t>
            </w:r>
          </w:p>
        </w:tc>
        <w:tc>
          <w:tcPr>
            <w:tcW w:type="dxa" w:w="8277"/>
            <w:vAlign w:val="center"/>
          </w:tcPr>
          <w:p>
            <w:pPr>
              <w:spacing w:after="0" w:line="288" w:lineRule="auto"/>
            </w:pPr>
            <w:r/>
            <w:r>
              <w:rPr>
                <w:rFonts w:ascii="游明朝" w:hAnsi="游明朝" w:eastAsia="游明朝"/>
                <w:b w:val="0"/>
                <w:color w:val="23301F"/>
                <w:sz w:val="21"/>
              </w:rPr>
              <w:t>また、友人との意見の違いも、すぐにどちらが正しいかを決める必要はない。相手の考えを聞くと、自分とは違う経験や価値観が背景にあると分かることがある。時間を置いて考えることで、相手の立場を想像できるようにな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本論③</w:t>
            </w:r>
          </w:p>
          <w:p>
            <w:pPr>
              <w:spacing w:after="0" w:line="288" w:lineRule="auto"/>
            </w:pPr>
            <w:r>
              <w:rPr>
                <w:rFonts w:ascii="游ゴシック" w:hAnsi="游ゴシック" w:eastAsia="游ゴシック"/>
                <w:b/>
                <w:color w:val="2C5F2D"/>
                <w:sz w:val="19"/>
              </w:rPr>
              <w:t>92字</w:t>
            </w:r>
          </w:p>
        </w:tc>
        <w:tc>
          <w:tcPr>
            <w:tcW w:type="dxa" w:w="8277"/>
            <w:vAlign w:val="center"/>
          </w:tcPr>
          <w:p>
            <w:pPr>
              <w:spacing w:after="0" w:line="288" w:lineRule="auto"/>
            </w:pPr>
            <w:r/>
            <w:r>
              <w:rPr>
                <w:rFonts w:ascii="游明朝" w:hAnsi="游明朝" w:eastAsia="游明朝"/>
                <w:b w:val="0"/>
                <w:color w:val="23301F"/>
                <w:sz w:val="21"/>
              </w:rPr>
              <w:t>もちろん、考え続けるだけで行動しなければ状況は変わらない。期限のあることには計画的に取り組み、必要なときには周囲に相談することも大切だ。それでも、答えが見つからない時間にも意味がある。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結論</w:t>
            </w:r>
          </w:p>
          <w:p>
            <w:pPr>
              <w:spacing w:after="0" w:line="288" w:lineRule="auto"/>
            </w:pPr>
            <w:r>
              <w:rPr>
                <w:rFonts w:ascii="游ゴシック" w:hAnsi="游ゴシック" w:eastAsia="游ゴシック"/>
                <w:b/>
                <w:color w:val="2C5F2D"/>
                <w:sz w:val="19"/>
              </w:rPr>
              <w:t>82字</w:t>
            </w:r>
          </w:p>
        </w:tc>
        <w:tc>
          <w:tcPr>
            <w:tcW w:type="dxa" w:w="8277"/>
            <w:vAlign w:val="center"/>
          </w:tcPr>
          <w:p>
            <w:pPr>
              <w:spacing w:after="0" w:line="288" w:lineRule="auto"/>
            </w:pPr>
            <w:r/>
            <w:r>
              <w:rPr>
                <w:rFonts w:ascii="游明朝" w:hAnsi="游明朝" w:eastAsia="游明朝"/>
                <w:b w:val="0"/>
                <w:color w:val="23301F"/>
                <w:sz w:val="21"/>
              </w:rPr>
              <w:t>私は、迷いを失敗と捉えず、自分を知り、他者を理解する機会として受け止めたい。そして21世紀アジア学部で多様な価値観に触れながら、答えを急がずに考え抜く力を磨きたい。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アドミッションポリシーとのつながり</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21世紀アジア学部：世界で活躍することを目指して、自らを向上させようとする強い意志を持つ学生を受け入れる</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大学全体：建学の精神・教育理念に共感し、人のために尽くせる人材になろうとする意欲を持つ学生</w:t>
      </w:r>
    </w:p>
    <w:p>
      <w:pPr>
        <w:spacing w:after="40" w:before="40" w:line="300" w:lineRule="auto"/>
      </w:pPr>
      <w:r>
        <w:rPr>
          <w:rFonts w:ascii="游ゴシック" w:hAnsi="游ゴシック" w:eastAsia="游ゴシック"/>
          <w:b w:val="0"/>
          <w:color w:val="23301F"/>
          <w:sz w:val="21"/>
        </w:rPr>
        <w:t>「他者を理解する」という結論は、多様な文化や価値観を学ぶ21世紀アジア学部と相性が良い。学部での学びと「自らを向上させようとする意志」を結論で示せば、アドミッションポリシーとの一致がはっきりする。</w:t>
      </w:r>
    </w:p>
    <w:p>
      <w:pPr>
        <w:spacing w:after="80" w:before="0" w:line="300" w:lineRule="auto"/>
      </w:pPr>
      <w:r>
        <w:rPr>
          <w:rFonts w:ascii="游ゴシック" w:hAnsi="游ゴシック" w:eastAsia="游ゴシック"/>
          <w:b w:val="0"/>
          <w:color w:val="5B6B54"/>
          <w:sz w:val="16"/>
        </w:rPr>
        <w:t>出典：https://www.kokushikan.ac.jp/admission/undergraduate/guidebook/docs/admission_guidebook_2026.pdf</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次回の課題</w:t>
      </w:r>
    </w:p>
    <w:p>
      <w:pPr>
        <w:spacing w:after="40" w:before="0" w:line="300" w:lineRule="auto"/>
      </w:pPr>
      <w:r>
        <w:rPr>
          <w:rFonts w:ascii="游ゴシック" w:hAnsi="游ゴシック" w:eastAsia="游ゴシック"/>
          <w:b/>
          <w:color w:val="D9782D"/>
          <w:sz w:val="21"/>
        </w:rPr>
        <w:t>1．</w:t>
      </w:r>
      <w:r>
        <w:rPr>
          <w:rFonts w:ascii="游ゴシック" w:hAnsi="游ゴシック" w:eastAsia="游ゴシック"/>
          <w:b w:val="0"/>
          <w:color w:val="23301F"/>
          <w:sz w:val="21"/>
        </w:rPr>
        <w:t>課題文型の設問では、書き出しで「筆者は〜と述べている」と主張を一文で示してから意見を書く</w:t>
      </w:r>
    </w:p>
    <w:p>
      <w:pPr>
        <w:spacing w:after="40" w:before="0" w:line="300" w:lineRule="auto"/>
      </w:pPr>
      <w:r>
        <w:rPr>
          <w:rFonts w:ascii="游ゴシック" w:hAnsi="游ゴシック" w:eastAsia="游ゴシック"/>
          <w:b/>
          <w:color w:val="D9782D"/>
          <w:sz w:val="21"/>
        </w:rPr>
        <w:t>2．</w:t>
      </w:r>
      <w:r>
        <w:rPr>
          <w:rFonts w:ascii="游ゴシック" w:hAnsi="游ゴシック" w:eastAsia="游ゴシック"/>
          <w:b w:val="0"/>
          <w:color w:val="23301F"/>
          <w:sz w:val="21"/>
        </w:rPr>
        <w:t>譲歩（「もちろん〜」）は独立した段落にする</w:t>
      </w:r>
    </w:p>
    <w:p>
      <w:pPr>
        <w:spacing w:after="40" w:before="0" w:line="300" w:lineRule="auto"/>
      </w:pPr>
      <w:r>
        <w:rPr>
          <w:rFonts w:ascii="游ゴシック" w:hAnsi="游ゴシック" w:eastAsia="游ゴシック"/>
          <w:b/>
          <w:color w:val="D9782D"/>
          <w:sz w:val="21"/>
        </w:rPr>
        <w:t>3．</w:t>
      </w:r>
      <w:r>
        <w:rPr>
          <w:rFonts w:ascii="游ゴシック" w:hAnsi="游ゴシック" w:eastAsia="游ゴシック"/>
          <w:b w:val="0"/>
          <w:color w:val="23301F"/>
          <w:sz w:val="21"/>
        </w:rPr>
        <w:t>結論の最後の一文を、21世紀アジア学部で学びたいことにつなげる</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color w:val="5B6B54"/>
        <w:sz w:val="16"/>
      </w:rPr>
      <w:t>小論文添削（ショー）</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