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進ノ介</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21世紀アジア学部 総合型選抜 令和7年度 Ⅱ期（12月15日）</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優先席と同調圧力　／　ティムラズ・レジャバ『日本再発見』</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筆者の問題提起に対するあなたの考えを600字で述べなさい。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598字（規定の範囲内）</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78</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筆者（駐日ジョージア大使）の問題提起は「日本の暗黙のルールの多さと同調圧力」。答案の「自分の当たり前を常識と思い込まない姿勢」はこれに関係するが、優先席・暗黙のルール・同調圧力に一度も触れておらず、問題提起への考えとしては的が少しずれている。</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18 / 20</w:t>
            </w:r>
          </w:p>
        </w:tc>
        <w:tc>
          <w:tcPr>
            <w:tcW w:type="dxa" w:w="6350"/>
            <w:vAlign w:val="center"/>
          </w:tcPr>
          <w:p>
            <w:pPr>
              <w:spacing w:after="0" w:line="288" w:lineRule="auto"/>
            </w:pPr>
            <w:r/>
            <w:r>
              <w:rPr>
                <w:rFonts w:ascii="游ゴシック" w:hAnsi="游ゴシック" w:eastAsia="游ゴシック"/>
                <w:b w:val="0"/>
                <w:color w:val="23301F"/>
                <w:sz w:val="19"/>
              </w:rPr>
              <w:t>主張→理由→例→自分の体験→譲歩→結論と、小論文のお手本のような構成。段落の役割もはっきりしている。</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15 / 20</w:t>
            </w:r>
          </w:p>
        </w:tc>
        <w:tc>
          <w:tcPr>
            <w:tcW w:type="dxa" w:w="6350"/>
            <w:vAlign w:val="center"/>
          </w:tcPr>
          <w:p>
            <w:pPr>
              <w:spacing w:after="0" w:line="288" w:lineRule="auto"/>
            </w:pPr>
            <w:r/>
            <w:r>
              <w:rPr>
                <w:rFonts w:ascii="游ゴシック" w:hAnsi="游ゴシック" w:eastAsia="游ゴシック"/>
                <w:b w:val="0"/>
                <w:color w:val="23301F"/>
                <w:sz w:val="19"/>
              </w:rPr>
              <w:t>日本と他の文化の対比は分かりやすい。自分の体験が「〜ことがある」と一般的な書き方で、具体的な場面が見えない。</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16 / 20</w:t>
            </w:r>
          </w:p>
        </w:tc>
        <w:tc>
          <w:tcPr>
            <w:tcW w:type="dxa" w:w="6350"/>
            <w:vAlign w:val="center"/>
          </w:tcPr>
          <w:p>
            <w:pPr>
              <w:spacing w:after="0" w:line="288" w:lineRule="auto"/>
            </w:pPr>
            <w:r/>
            <w:r>
              <w:rPr>
                <w:rFonts w:ascii="游ゴシック" w:hAnsi="游ゴシック" w:eastAsia="游ゴシック"/>
                <w:b w:val="0"/>
                <w:color w:val="23301F"/>
                <w:sz w:val="19"/>
              </w:rPr>
              <w:t>国際交流・異文化理解というテーマは学部にぴったり。21世紀アジア学部で何を学びたいかの一文があればさらに良い。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16 / 20</w:t>
            </w:r>
          </w:p>
        </w:tc>
        <w:tc>
          <w:tcPr>
            <w:tcW w:type="dxa" w:w="6350"/>
            <w:vAlign w:val="center"/>
          </w:tcPr>
          <w:p>
            <w:pPr>
              <w:spacing w:after="0" w:line="288" w:lineRule="auto"/>
            </w:pPr>
            <w:r/>
            <w:r>
              <w:rPr>
                <w:rFonts w:ascii="游ゴシック" w:hAnsi="游ゴシック" w:eastAsia="游ゴシック"/>
                <w:b w:val="0"/>
                <w:color w:val="23301F"/>
                <w:sz w:val="19"/>
              </w:rPr>
              <w:t>598字で字数を使い切っている。「自分だけの基準だけで」の重複、「ではなくなぜ」の読点抜けがある。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600字）は大学公式の過去問で確認した。課題文は、誰もいない優先席に座った投稿への反響から、日本の暗黙のルールの多さと同調圧力を問題提起している。答案の「自分の当たり前を常識と思い込まない」「背景を尋ねる」「尊重と何でも許すことは違う」という考えはこの問題提起に十分つながる内容で、構成も見事である。ただ、優先席や同調圧力に一度も触れていないため、一般的な異文化論に見えてしまう。冒頭で筆者の問題提起を示し、本論で優先席の議論に結びつければ、高得点が狙え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冒頭で「思い込まない姿勢こそが大切」と主張を明確に示し、すぐに理由を述べている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日本の「遠慮」と他の文化の「明確に述べる」を対比し、誤解が生まれる仕組みを分かりやすく説明している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「相手を尊重することと、何でも許すことは同じではない」と譲歩を入れ、主張に深みを出している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598字と字数を十分に使い、結論で国際交流が身近な現代につなげている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筆者の問題提起（暗黙のルール・同調圧力）に触れる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「私は、異なる文化や価値観に触れたとき、自分の当たり前を世界共通の常識だと思い込まない姿勢こそが大切だと考える。」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設問は「筆者の問題提起に対するあなたの考え」。冒頭で「筆者は、優先席の投稿への反響から、日本の暗黙のルールの多さと同調圧力を問題提起している」と示し、本論でも「優先席の議論も同じで〜」と課題文に結びつける。</w:t>
      </w:r>
    </w:p>
    <w:p>
      <w:pPr>
        <w:spacing w:after="20" w:before="60" w:line="300" w:lineRule="auto"/>
      </w:pPr>
      <w:r>
        <w:rPr>
          <w:rFonts w:ascii="游ゴシック" w:hAnsi="游ゴシック" w:eastAsia="游ゴシック"/>
          <w:b/>
          <w:color w:val="17321A"/>
          <w:sz w:val="21"/>
        </w:rPr>
        <w:t>2. 自分の体験を具体的な場面で書く</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「私も、相手の反応が予想と違うと、失礼だと感じたり、話が通じないと思ったりすることがある。」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「ことがある」では一般論に近い。留学生や外国の人と話した場面、部活動や地域での交流など、実際の出来事を一つ書けると根拠が一段強くなる（本当にあった体験だけを書くこと）。</w:t>
      </w:r>
    </w:p>
    <w:p>
      <w:pPr>
        <w:spacing w:after="20" w:before="60" w:line="300" w:lineRule="auto"/>
      </w:pPr>
      <w:r>
        <w:rPr>
          <w:rFonts w:ascii="游ゴシック" w:hAnsi="游ゴシック" w:eastAsia="游ゴシック"/>
          <w:b/>
          <w:color w:val="17321A"/>
          <w:sz w:val="21"/>
        </w:rPr>
        <w:t>3. 重複表現を直す</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「自分だけの基準だけで相手を判断すれば」</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「だけ」が二回続いている。「自分の基準だけで」とする。</w:t>
      </w:r>
    </w:p>
    <w:p>
      <w:pPr>
        <w:spacing w:after="20" w:before="60" w:line="300" w:lineRule="auto"/>
      </w:pPr>
      <w:r>
        <w:rPr>
          <w:rFonts w:ascii="游ゴシック" w:hAnsi="游ゴシック" w:eastAsia="游ゴシック"/>
          <w:b/>
          <w:color w:val="17321A"/>
          <w:sz w:val="21"/>
        </w:rPr>
        <w:t>4. 文化の対比は「傾向」として書く</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「日本では相手に迷惑をかけないよう、遠慮して希望をはっきり伝えられないことがある。」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国や文化をひとまとめにすると、決めつけに見えることがある。「〜傾向がある」「〜文化もある」と書くと、主張（思い込まない姿勢）と矛盾しない。</w:t>
      </w:r>
    </w:p>
    <w:p>
      <w:pPr>
        <w:spacing w:after="20" w:before="60" w:line="300" w:lineRule="auto"/>
      </w:pPr>
      <w:r>
        <w:rPr>
          <w:rFonts w:ascii="游ゴシック" w:hAnsi="游ゴシック" w:eastAsia="游ゴシック"/>
          <w:b/>
          <w:color w:val="17321A"/>
          <w:sz w:val="21"/>
        </w:rPr>
        <w:t>5. 結論で学部での学びにつなげる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「国際交流が身近な現代、私は自分の常識をいったん脇に置き」</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「21世紀アジア学部で多様な文化を学び」と一言入れるだけで、学部を志望する理由が伝わる。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あなたの答案（598字）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98字</w:t>
            </w:r>
          </w:p>
        </w:tc>
        <w:tc>
          <w:tcPr>
            <w:tcW w:type="dxa" w:w="8277"/>
            <w:vAlign w:val="center"/>
          </w:tcPr>
          <w:p>
            <w:pPr>
              <w:spacing w:after="0" w:line="288" w:lineRule="auto"/>
            </w:pPr>
            <w:r/>
            <w:r>
              <w:rPr>
                <w:rFonts w:ascii="游明朝" w:hAnsi="游明朝" w:eastAsia="游明朝"/>
                <w:b w:val="0"/>
                <w:color w:val="23301F"/>
                <w:sz w:val="21"/>
              </w:rPr>
              <w:t>私は、異なる文化や価値観に触れたとき、自分の当たり前を世界共通の常識だと思い込まない姿勢こそが大切だと考える。自分だけの基準だけで相手を判断すれば、意図を誤解し、理解する機会を失ってしまうからだ。</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205字</w:t>
            </w:r>
          </w:p>
        </w:tc>
        <w:tc>
          <w:tcPr>
            <w:tcW w:type="dxa" w:w="8277"/>
            <w:vAlign w:val="center"/>
          </w:tcPr>
          <w:p>
            <w:pPr>
              <w:spacing w:after="0" w:line="288" w:lineRule="auto"/>
            </w:pPr>
            <w:r/>
            <w:r>
              <w:rPr>
                <w:rFonts w:ascii="游明朝" w:hAnsi="游明朝" w:eastAsia="游明朝"/>
                <w:b w:val="0"/>
                <w:color w:val="23301F"/>
                <w:sz w:val="21"/>
              </w:rPr>
              <w:t>例えば、日本では相手に迷惑をかけないよう、遠慮して希望をはっきり伝えられないことがある。一方、別の文化では、自分の意見を明確に述べることが誠実さの表れだと受け取られる場合もある。日本側がそれを「自己中心的だ」と決めつけたり、相手側が日本人を「何を考えているか分からない」と評価したりすれば、対立が生まれる。大切なのは、どちらかを正しいと決めることではなくなぜその行動をするのかを尋ね、背景を知ろうとすることだ。</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116字</w:t>
            </w:r>
          </w:p>
        </w:tc>
        <w:tc>
          <w:tcPr>
            <w:tcW w:type="dxa" w:w="8277"/>
            <w:vAlign w:val="center"/>
          </w:tcPr>
          <w:p>
            <w:pPr>
              <w:spacing w:after="0" w:line="288" w:lineRule="auto"/>
            </w:pPr>
            <w:r/>
            <w:r>
              <w:rPr>
                <w:rFonts w:ascii="游明朝" w:hAnsi="游明朝" w:eastAsia="游明朝"/>
                <w:b w:val="0"/>
                <w:color w:val="23301F"/>
                <w:sz w:val="21"/>
              </w:rPr>
              <w:t>私も、相手の反応が予想と違うと、失礼だと感じたり、話が通じないと思ったりすることがある。しかし、決めつけずに理由を聞けば、考え方や表現の違いだと分かるかもしれない。違いは相手を遠ざける理由ではなく、自分の視野を広げるきっかけにな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本論③</w:t>
            </w:r>
          </w:p>
          <w:p>
            <w:pPr>
              <w:spacing w:after="0" w:line="288" w:lineRule="auto"/>
            </w:pPr>
            <w:r>
              <w:rPr>
                <w:rFonts w:ascii="游ゴシック" w:hAnsi="游ゴシック" w:eastAsia="游ゴシック"/>
                <w:b/>
                <w:color w:val="2C5F2D"/>
                <w:sz w:val="19"/>
              </w:rPr>
              <w:t>99字</w:t>
            </w:r>
          </w:p>
        </w:tc>
        <w:tc>
          <w:tcPr>
            <w:tcW w:type="dxa" w:w="8277"/>
            <w:vAlign w:val="center"/>
          </w:tcPr>
          <w:p>
            <w:pPr>
              <w:spacing w:after="0" w:line="288" w:lineRule="auto"/>
            </w:pPr>
            <w:r/>
            <w:r>
              <w:rPr>
                <w:rFonts w:ascii="游明朝" w:hAnsi="游明朝" w:eastAsia="游明朝"/>
                <w:b w:val="0"/>
                <w:color w:val="23301F"/>
                <w:sz w:val="21"/>
              </w:rPr>
              <w:t>もちろん、文化の違いを理由に相手の言動をすべて受け入れる必要はない。人を傷つける行為や守るべきルールについては、互いに説明し、話し合う必要がある。相手を尊重することと、何でも許すことは同じではない。</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80字</w:t>
            </w:r>
          </w:p>
        </w:tc>
        <w:tc>
          <w:tcPr>
            <w:tcW w:type="dxa" w:w="8277"/>
            <w:vAlign w:val="center"/>
          </w:tcPr>
          <w:p>
            <w:pPr>
              <w:spacing w:after="0" w:line="288" w:lineRule="auto"/>
            </w:pPr>
            <w:r/>
            <w:r>
              <w:rPr>
                <w:rFonts w:ascii="游明朝" w:hAnsi="游明朝" w:eastAsia="游明朝"/>
                <w:b w:val="0"/>
                <w:color w:val="23301F"/>
                <w:sz w:val="21"/>
              </w:rPr>
              <w:t>国際交流が身近な現代、私は自分の常識をいったん脇に置き、相手の立場から考えるという習慣を身につけたい。違いを知り、対話を重ねることが、信頼を築く第一歩だと思う。</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自分だけの基準だけで</w:t>
            </w:r>
          </w:p>
        </w:tc>
        <w:tc>
          <w:tcPr>
            <w:tcW w:type="dxa" w:w="3402"/>
            <w:vAlign w:val="center"/>
          </w:tcPr>
          <w:p>
            <w:pPr>
              <w:spacing w:after="0" w:line="288" w:lineRule="auto"/>
            </w:pPr>
            <w:r/>
            <w:r>
              <w:rPr>
                <w:rFonts w:ascii="游明朝" w:hAnsi="游明朝" w:eastAsia="游明朝"/>
                <w:b/>
                <w:color w:val="2C5F2D"/>
                <w:sz w:val="19"/>
              </w:rPr>
              <w:t>自分の基準だけで</w:t>
            </w:r>
          </w:p>
        </w:tc>
        <w:tc>
          <w:tcPr>
            <w:tcW w:type="dxa" w:w="2835"/>
            <w:vAlign w:val="center"/>
          </w:tcPr>
          <w:p>
            <w:pPr>
              <w:spacing w:after="0" w:line="288" w:lineRule="auto"/>
            </w:pPr>
            <w:r/>
            <w:r>
              <w:rPr>
                <w:rFonts w:ascii="游ゴシック" w:hAnsi="游ゴシック" w:eastAsia="游ゴシック"/>
                <w:b w:val="0"/>
                <w:color w:val="23301F"/>
                <w:sz w:val="18"/>
              </w:rPr>
              <w:t>「だけ」の重複</w:t>
            </w:r>
          </w:p>
        </w:tc>
      </w:tr>
      <w:tr>
        <w:tc>
          <w:tcPr>
            <w:tcW w:type="dxa" w:w="3402"/>
            <w:vAlign w:val="center"/>
          </w:tcPr>
          <w:p>
            <w:pPr>
              <w:spacing w:after="0" w:line="288" w:lineRule="auto"/>
            </w:pPr>
            <w:r/>
            <w:r>
              <w:rPr>
                <w:rFonts w:ascii="游明朝" w:hAnsi="游明朝" w:eastAsia="游明朝"/>
                <w:b w:val="0"/>
                <w:color w:val="23301F"/>
                <w:sz w:val="19"/>
              </w:rPr>
              <w:t>決めることではなくなぜその行動をするのかを尋ね</w:t>
            </w:r>
          </w:p>
        </w:tc>
        <w:tc>
          <w:tcPr>
            <w:tcW w:type="dxa" w:w="3402"/>
            <w:vAlign w:val="center"/>
          </w:tcPr>
          <w:p>
            <w:pPr>
              <w:spacing w:after="0" w:line="288" w:lineRule="auto"/>
            </w:pPr>
            <w:r/>
            <w:r>
              <w:rPr>
                <w:rFonts w:ascii="游明朝" w:hAnsi="游明朝" w:eastAsia="游明朝"/>
                <w:b/>
                <w:color w:val="2C5F2D"/>
                <w:sz w:val="19"/>
              </w:rPr>
              <w:t>決めることではなく、なぜその行動をするのかを尋ね</w:t>
            </w:r>
          </w:p>
        </w:tc>
        <w:tc>
          <w:tcPr>
            <w:tcW w:type="dxa" w:w="2835"/>
            <w:vAlign w:val="center"/>
          </w:tcPr>
          <w:p>
            <w:pPr>
              <w:spacing w:after="0" w:line="288" w:lineRule="auto"/>
            </w:pPr>
            <w:r/>
            <w:r>
              <w:rPr>
                <w:rFonts w:ascii="游ゴシック" w:hAnsi="游ゴシック" w:eastAsia="游ゴシック"/>
                <w:b w:val="0"/>
                <w:color w:val="23301F"/>
                <w:sz w:val="18"/>
              </w:rPr>
              <w:t>読点の抜け</w:t>
            </w:r>
          </w:p>
        </w:tc>
      </w:tr>
      <w:tr>
        <w:tc>
          <w:tcPr>
            <w:tcW w:type="dxa" w:w="3402"/>
            <w:vAlign w:val="center"/>
          </w:tcPr>
          <w:p>
            <w:pPr>
              <w:spacing w:after="0" w:line="288" w:lineRule="auto"/>
            </w:pPr>
            <w:r/>
            <w:r>
              <w:rPr>
                <w:rFonts w:ascii="游明朝" w:hAnsi="游明朝" w:eastAsia="游明朝"/>
                <w:b w:val="0"/>
                <w:color w:val="23301F"/>
                <w:sz w:val="19"/>
              </w:rPr>
              <w:t>遠慮して希望をはっきり伝えられないことがある。</w:t>
            </w:r>
          </w:p>
        </w:tc>
        <w:tc>
          <w:tcPr>
            <w:tcW w:type="dxa" w:w="3402"/>
            <w:vAlign w:val="center"/>
          </w:tcPr>
          <w:p>
            <w:pPr>
              <w:spacing w:after="0" w:line="288" w:lineRule="auto"/>
            </w:pPr>
            <w:r/>
            <w:r>
              <w:rPr>
                <w:rFonts w:ascii="游明朝" w:hAnsi="游明朝" w:eastAsia="游明朝"/>
                <w:b/>
                <w:color w:val="2C5F2D"/>
                <w:sz w:val="19"/>
              </w:rPr>
              <w:t>遠慮して希望をはっきり伝えない傾向がある。</w:t>
            </w:r>
          </w:p>
        </w:tc>
        <w:tc>
          <w:tcPr>
            <w:tcW w:type="dxa" w:w="2835"/>
            <w:vAlign w:val="center"/>
          </w:tcPr>
          <w:p>
            <w:pPr>
              <w:spacing w:after="0" w:line="288" w:lineRule="auto"/>
            </w:pPr>
            <w:r/>
            <w:r>
              <w:rPr>
                <w:rFonts w:ascii="游ゴシック" w:hAnsi="游ゴシック" w:eastAsia="游ゴシック"/>
                <w:b w:val="0"/>
                <w:color w:val="23301F"/>
                <w:sz w:val="18"/>
              </w:rPr>
              <w:t>文化の説明は「傾向」として書く</w:t>
            </w:r>
          </w:p>
        </w:tc>
      </w:tr>
      <w:tr>
        <w:tc>
          <w:tcPr>
            <w:tcW w:type="dxa" w:w="3402"/>
            <w:vAlign w:val="center"/>
          </w:tcPr>
          <w:p>
            <w:pPr>
              <w:spacing w:after="0" w:line="288" w:lineRule="auto"/>
            </w:pPr>
            <w:r/>
            <w:r>
              <w:rPr>
                <w:rFonts w:ascii="游明朝" w:hAnsi="游明朝" w:eastAsia="游明朝"/>
                <w:b w:val="0"/>
                <w:color w:val="23301F"/>
                <w:sz w:val="19"/>
              </w:rPr>
              <w:t>一方、別の文化では、自分の意見を明確に述べることが誠実さの表れだと受け取られる場合もある。</w:t>
            </w:r>
          </w:p>
        </w:tc>
        <w:tc>
          <w:tcPr>
            <w:tcW w:type="dxa" w:w="3402"/>
            <w:vAlign w:val="center"/>
          </w:tcPr>
          <w:p>
            <w:pPr>
              <w:spacing w:after="0" w:line="288" w:lineRule="auto"/>
            </w:pPr>
            <w:r/>
            <w:r>
              <w:rPr>
                <w:rFonts w:ascii="游明朝" w:hAnsi="游明朝" w:eastAsia="游明朝"/>
                <w:b/>
                <w:color w:val="2C5F2D"/>
                <w:sz w:val="19"/>
              </w:rPr>
              <w:t>一方、自分の意見を明確に述べることが誠実さの表れだと受け取られる文化もある。</w:t>
            </w:r>
          </w:p>
        </w:tc>
        <w:tc>
          <w:tcPr>
            <w:tcW w:type="dxa" w:w="2835"/>
            <w:vAlign w:val="center"/>
          </w:tcPr>
          <w:p>
            <w:pPr>
              <w:spacing w:after="0" w:line="288" w:lineRule="auto"/>
            </w:pPr>
            <w:r/>
            <w:r>
              <w:rPr>
                <w:rFonts w:ascii="游ゴシック" w:hAnsi="游ゴシック" w:eastAsia="游ゴシック"/>
                <w:b w:val="0"/>
                <w:color w:val="23301F"/>
                <w:sz w:val="18"/>
              </w:rPr>
              <w:t>「別の文化では〜場合もある」を簡潔に</w:t>
            </w:r>
          </w:p>
        </w:tc>
      </w:tr>
      <w:tr>
        <w:tc>
          <w:tcPr>
            <w:tcW w:type="dxa" w:w="3402"/>
            <w:vAlign w:val="center"/>
          </w:tcPr>
          <w:p>
            <w:pPr>
              <w:spacing w:after="0" w:line="288" w:lineRule="auto"/>
            </w:pPr>
            <w:r/>
            <w:r>
              <w:rPr>
                <w:rFonts w:ascii="游明朝" w:hAnsi="游明朝" w:eastAsia="游明朝"/>
                <w:b w:val="0"/>
                <w:color w:val="23301F"/>
                <w:sz w:val="19"/>
              </w:rPr>
              <w:t>信頼を築く第一歩だと思う。</w:t>
            </w:r>
          </w:p>
        </w:tc>
        <w:tc>
          <w:tcPr>
            <w:tcW w:type="dxa" w:w="3402"/>
            <w:vAlign w:val="center"/>
          </w:tcPr>
          <w:p>
            <w:pPr>
              <w:spacing w:after="0" w:line="288" w:lineRule="auto"/>
            </w:pPr>
            <w:r/>
            <w:r>
              <w:rPr>
                <w:rFonts w:ascii="游明朝" w:hAnsi="游明朝" w:eastAsia="游明朝"/>
                <w:b/>
                <w:color w:val="2C5F2D"/>
                <w:sz w:val="19"/>
              </w:rPr>
              <w:t>信頼を築く第一歩だと考える。</w:t>
            </w:r>
          </w:p>
        </w:tc>
        <w:tc>
          <w:tcPr>
            <w:tcW w:type="dxa" w:w="2835"/>
            <w:vAlign w:val="center"/>
          </w:tcPr>
          <w:p>
            <w:pPr>
              <w:spacing w:after="0" w:line="288" w:lineRule="auto"/>
            </w:pPr>
            <w:r/>
            <w:r>
              <w:rPr>
                <w:rFonts w:ascii="游ゴシック" w:hAnsi="游ゴシック" w:eastAsia="游ゴシック"/>
                <w:b w:val="0"/>
                <w:color w:val="23301F"/>
                <w:sz w:val="18"/>
              </w:rPr>
              <w:t>結論は「考える」で言い切ると力強い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【序論】主張：自分の当たり前を常識と思い込まない姿勢／理由：誤解し理解の機会を失う</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【序論】（そのままでよい）主張＋理由</w:t>
            </w:r>
          </w:p>
        </w:tc>
      </w:tr>
      <w:tr>
        <w:tc>
          <w:tcPr>
            <w:tcW w:type="dxa" w:w="4819"/>
            <w:vAlign w:val="center"/>
          </w:tcPr>
          <w:p>
            <w:pPr>
              <w:spacing w:after="0" w:line="288" w:lineRule="auto"/>
            </w:pPr>
            <w:r/>
            <w:r>
              <w:rPr>
                <w:rFonts w:ascii="游ゴシック" w:hAnsi="游ゴシック" w:eastAsia="游ゴシック"/>
                <w:b w:val="0"/>
                <w:color w:val="23301F"/>
                <w:sz w:val="19"/>
              </w:rPr>
              <w:t>【本論①】例：日本の遠慮と他文化の明確さ → 決めつけると対立 → 背景を尋ねることが大切</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【本論①】例：日本の遠慮と他文化の明確さ（「傾向」として）→ 背景を尋ねる</w:t>
            </w:r>
          </w:p>
        </w:tc>
      </w:tr>
      <w:tr>
        <w:tc>
          <w:tcPr>
            <w:tcW w:type="dxa" w:w="4819"/>
            <w:vAlign w:val="center"/>
          </w:tcPr>
          <w:p>
            <w:pPr>
              <w:spacing w:after="0" w:line="288" w:lineRule="auto"/>
            </w:pPr>
            <w:r/>
            <w:r>
              <w:rPr>
                <w:rFonts w:ascii="游ゴシック" w:hAnsi="游ゴシック" w:eastAsia="游ゴシック"/>
                <w:b w:val="0"/>
                <w:color w:val="23301F"/>
                <w:sz w:val="19"/>
              </w:rPr>
              <w:t>【本論②】体験：反応が予想と違うと失礼と感じる → 理由を聞けば違いと分かる → 視野が広がる</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【本論②】体験：実際の場面を一つ（留学生・交流など）→ 理由を聞いて違いと分かった</w:t>
            </w:r>
          </w:p>
        </w:tc>
      </w:tr>
      <w:tr>
        <w:tc>
          <w:tcPr>
            <w:tcW w:type="dxa" w:w="4819"/>
            <w:vAlign w:val="center"/>
          </w:tcPr>
          <w:p>
            <w:pPr>
              <w:spacing w:after="0" w:line="288" w:lineRule="auto"/>
            </w:pPr>
            <w:r/>
            <w:r>
              <w:rPr>
                <w:rFonts w:ascii="游ゴシック" w:hAnsi="游ゴシック" w:eastAsia="游ゴシック"/>
                <w:b w:val="0"/>
                <w:color w:val="23301F"/>
                <w:sz w:val="19"/>
              </w:rPr>
              <w:t>【本論③】譲歩：何でも受け入れる必要はない → 尊重と何でも許すことは違う</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【本論③】（そのままでよい）譲歩：尊重≠何でも許す</w:t>
            </w:r>
          </w:p>
        </w:tc>
      </w:tr>
      <w:tr>
        <w:tc>
          <w:tcPr>
            <w:tcW w:type="dxa" w:w="4819"/>
            <w:vAlign w:val="center"/>
          </w:tcPr>
          <w:p>
            <w:pPr>
              <w:spacing w:after="0" w:line="288" w:lineRule="auto"/>
            </w:pPr>
            <w:r/>
            <w:r>
              <w:rPr>
                <w:rFonts w:ascii="游ゴシック" w:hAnsi="游ゴシック" w:eastAsia="游ゴシック"/>
                <w:b w:val="0"/>
                <w:color w:val="23301F"/>
                <w:sz w:val="19"/>
              </w:rPr>
              <w:t>【結論】国際交流の時代 → 常識を脇に置き相手の立場で考える習慣 → 対話が信頼の第一歩</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【結論】学部で多様な文化を学び、相手の立場で考える習慣を → 対話が信頼の第一歩</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書き直し例（592字）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139字</w:t>
            </w:r>
          </w:p>
        </w:tc>
        <w:tc>
          <w:tcPr>
            <w:tcW w:type="dxa" w:w="8277"/>
            <w:vAlign w:val="center"/>
          </w:tcPr>
          <w:p>
            <w:pPr>
              <w:spacing w:after="0" w:line="288" w:lineRule="auto"/>
            </w:pPr>
            <w:r/>
            <w:r>
              <w:rPr>
                <w:rFonts w:ascii="游明朝" w:hAnsi="游明朝" w:eastAsia="游明朝"/>
                <w:b w:val="0"/>
                <w:color w:val="23301F"/>
                <w:sz w:val="21"/>
              </w:rPr>
              <w:t>筆者は、誰もいない優先席に座った投稿への大きな反響から、日本の暗黙のルールの多さと同調圧力の強さを問題提起している。私は、異なる文化や価値観に触れたとき、自分の当たり前を常識だと思い込まない姿勢こそが大切だと考える。自分の基準だけで相手を判断すれば、意図を誤解してしまうからだ。</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181字</w:t>
            </w:r>
          </w:p>
        </w:tc>
        <w:tc>
          <w:tcPr>
            <w:tcW w:type="dxa" w:w="8277"/>
            <w:vAlign w:val="center"/>
          </w:tcPr>
          <w:p>
            <w:pPr>
              <w:spacing w:after="0" w:line="288" w:lineRule="auto"/>
            </w:pPr>
            <w:r/>
            <w:r>
              <w:rPr>
                <w:rFonts w:ascii="游明朝" w:hAnsi="游明朝" w:eastAsia="游明朝"/>
                <w:b w:val="0"/>
                <w:color w:val="23301F"/>
                <w:sz w:val="21"/>
              </w:rPr>
              <w:t>例えば、日本では相手に迷惑をかけないよう、遠慮して希望をはっきり伝えない傾向がある。一方、意見を明確に述べることが誠実さの表れとされる文化もある。互いに相手を「自己中心的だ」「何を考えているか分からない」と決めつければ、対立が生まれる。優先席の議論も同じで、大切なのはどちらかを正しいと決めることではなく、なぜその行動をするのかを尋ね、背景を知ろうとすることだ。</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82字</w:t>
            </w:r>
          </w:p>
        </w:tc>
        <w:tc>
          <w:tcPr>
            <w:tcW w:type="dxa" w:w="8277"/>
            <w:vAlign w:val="center"/>
          </w:tcPr>
          <w:p>
            <w:pPr>
              <w:spacing w:after="0" w:line="288" w:lineRule="auto"/>
            </w:pPr>
            <w:r/>
            <w:r>
              <w:rPr>
                <w:rFonts w:ascii="游明朝" w:hAnsi="游明朝" w:eastAsia="游明朝"/>
                <w:b w:val="0"/>
                <w:color w:val="23301F"/>
                <w:sz w:val="21"/>
              </w:rPr>
              <w:t>私も、相手の反応が予想と違うと、失礼だと感じることがある。しかし、決めつけずに理由を聞けば、考え方や表現の違いだと分かる。違いは、自分の視野を広げるきっかけになる。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本論③</w:t>
            </w:r>
          </w:p>
          <w:p>
            <w:pPr>
              <w:spacing w:after="0" w:line="288" w:lineRule="auto"/>
            </w:pPr>
            <w:r>
              <w:rPr>
                <w:rFonts w:ascii="游ゴシック" w:hAnsi="游ゴシック" w:eastAsia="游ゴシック"/>
                <w:b/>
                <w:color w:val="2C5F2D"/>
                <w:sz w:val="19"/>
              </w:rPr>
              <w:t>99字</w:t>
            </w:r>
          </w:p>
        </w:tc>
        <w:tc>
          <w:tcPr>
            <w:tcW w:type="dxa" w:w="8277"/>
            <w:vAlign w:val="center"/>
          </w:tcPr>
          <w:p>
            <w:pPr>
              <w:spacing w:after="0" w:line="288" w:lineRule="auto"/>
            </w:pPr>
            <w:r/>
            <w:r>
              <w:rPr>
                <w:rFonts w:ascii="游明朝" w:hAnsi="游明朝" w:eastAsia="游明朝"/>
                <w:b w:val="0"/>
                <w:color w:val="23301F"/>
                <w:sz w:val="21"/>
              </w:rPr>
              <w:t>もちろん、文化の違いを理由に相手の言動をすべて受け入れる必要はない。人を傷つける行為や守るべきルールについては、互いに説明し、話し合う必要がある。相手を尊重することと、何でも許すことは同じではない。</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91字</w:t>
            </w:r>
          </w:p>
        </w:tc>
        <w:tc>
          <w:tcPr>
            <w:tcW w:type="dxa" w:w="8277"/>
            <w:vAlign w:val="center"/>
          </w:tcPr>
          <w:p>
            <w:pPr>
              <w:spacing w:after="0" w:line="288" w:lineRule="auto"/>
            </w:pPr>
            <w:r/>
            <w:r>
              <w:rPr>
                <w:rFonts w:ascii="游明朝" w:hAnsi="游明朝" w:eastAsia="游明朝"/>
                <w:b w:val="0"/>
                <w:color w:val="23301F"/>
                <w:sz w:val="21"/>
              </w:rPr>
              <w:t>国際交流が身近な現代、私は21世紀アジア学部で多様な文化を学び、自分の常識をいったん脇に置いて相手の立場から考える習慣を身につけたい。対話を重ねることが、信頼を築く第一歩だと考える。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21世紀アジア学部：世界で活躍することを目指して、自らを向上させようとする強い意志を持つ学生を受け入れる</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大学全体：建学の精神・教育理念に共感し、人のために尽くせる人材になろうとする意欲を持つ学生</w:t>
      </w:r>
    </w:p>
    <w:p>
      <w:pPr>
        <w:spacing w:after="40" w:before="40" w:line="300" w:lineRule="auto"/>
      </w:pPr>
      <w:r>
        <w:rPr>
          <w:rFonts w:ascii="游ゴシック" w:hAnsi="游ゴシック" w:eastAsia="游ゴシック"/>
          <w:b w:val="0"/>
          <w:color w:val="23301F"/>
          <w:sz w:val="21"/>
        </w:rPr>
        <w:t>異文化を「思い込まずに理解しようとする姿勢」と「対話で信頼を築く」という結論は、世界で活躍することを目指す21世紀アジア学部の方針とよく合っている。学部での学びを結論に一言入れると、さらに伝わりやすい。</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課題文型の設問では、書き出しで筆者の問題提起を一文で示し、本論でも課題文の具体例（優先席など）に結びつける</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国や文化について書くときは「傾向がある」とし、決めつけの表現を避ける</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同じ言葉の重なり（だけ・だけ）や読点の抜けを、最後の見直しで確認する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