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2026-10-20</w:t>
            </w:r>
          </w:p>
          <w:p>
            <w:pPr>
              <w:spacing w:after="0" w:line="288" w:lineRule="auto"/>
            </w:pPr>
            <w:r>
              <w:rPr>
                <w:rFonts w:ascii="游ゴシック" w:hAnsi="游ゴシック" w:eastAsia="游ゴシック"/>
                <w:b/>
                <w:color w:val="FFFFFF"/>
                <w:sz w:val="21"/>
              </w:rPr>
              <w:t>石川陽太</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文学部 教育学科 総合型選抜 令和7年度 Ⅲ期（1月31日）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知識は伝わるか　／　鈴木宏昭『私たちはどう学んでいるのか』</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設問1：筆者の主張を200字でまとめなさい。設問2：筆者の主張に対するあなたの意見を、本文の内容にも触れながら400字で書きなさい。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579字（規定の範囲内）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65</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設問1・設問2とも字数どおり（200字・379字）に書けている。しかし設問1の一文目「知識は持ち運んだり、誰かに渡したり…できることを意味する」は、筆者が否定している「多くの人の信念」であり、筆者の主張と逆になっている。</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設問1と設問2を分け、設問2は主張→理由→例→結論の形で書けている。設問2の最初と最後で同じ主張文をほぼそのまま繰り返している。</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英単語を赤シートで覚えるだけでは知識にならない、例文・同義語・対義語と一緒に覚える、熟語は文法問題を通して覚える、と自分の勉強法を具体的に書けている。本文の「関係性」とよく結びついている。</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13 / 20</w:t>
            </w:r>
          </w:p>
        </w:tc>
        <w:tc>
          <w:tcPr>
            <w:tcW w:type="dxa" w:w="6350"/>
            <w:vAlign w:val="center"/>
          </w:tcPr>
          <w:p>
            <w:pPr>
              <w:spacing w:after="0" w:line="288" w:lineRule="auto"/>
            </w:pPr>
            <w:r/>
            <w:r>
              <w:rPr>
                <w:rFonts w:ascii="游ゴシック" w:hAnsi="游ゴシック" w:eastAsia="游ゴシック"/>
                <w:b w:val="0"/>
                <w:color w:val="23301F"/>
                <w:sz w:val="19"/>
              </w:rPr>
              <w:t>教員として話し合いの時間を設けたい、と教育につなげられている。「身につけさせる」より「生徒が自分で考える」視点で書くと、本文の主張とも合う。</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10 / 20</w:t>
            </w:r>
          </w:p>
        </w:tc>
        <w:tc>
          <w:tcPr>
            <w:tcW w:type="dxa" w:w="6350"/>
            <w:vAlign w:val="center"/>
          </w:tcPr>
          <w:p>
            <w:pPr>
              <w:spacing w:after="0" w:line="288" w:lineRule="auto"/>
            </w:pPr>
            <w:r/>
            <w:r>
              <w:rPr>
                <w:rFonts w:ascii="游ゴシック" w:hAnsi="游ゴシック" w:eastAsia="游ゴシック"/>
                <w:b w:val="0"/>
                <w:color w:val="23301F"/>
                <w:sz w:val="19"/>
              </w:rPr>
              <w:t>「知識には、三つの性質を持っている」「孤立した知識は役に立たないや、〜という部分からである」がねじれている。「場面応答性」の説明が抜けている。「単発で」「覚える際単語帳」（読点）なども直し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前提】設問文と字数（設問1 200字・設問2 400字）は大学公式の過去問で確認した。設問2は、自分の英単語・熟語の勉強法を本文の「関係性」と結びつけて説明できていて、説得力がある。最大の課題は設問1の一文目。「知識は持ち運んだり渡したりできる」は筆者が否定している一般の考えで、筆者の主張はその逆の「知識は受け渡しできず、考える作業をしなければ記憶にとどまる」である。要約では「筆者は〜という考えを否定している」と、誰の考えなのかをはっきりさせること。三つの性質のうち「場面応答性」の説明も入れたい。</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設問1・設問2とも、指定の字数どおりに書けている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三つの性質（一般性・関係性・場面応答性）の名前を正しく挙げられている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英単語・熟語の覚え方という自分の勉強法を、本文の「関係性」と結びつけて説明できている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教員として話し合いの時間を設けたいと、教育学科につなげている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要約の一文目を、筆者の主張の向きに直す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「知識は持ち運んだり、誰かに渡したり、誰かから受け取ったりできることを意味する。」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これは筆者が「残念ながらそうではない」と否定している、多くの人の信念。「筆者は、知識は人から人へ受け渡しできるという多くの人の信念を否定している」と書き出し、「本や先生が伝えるのは情報で、覚えても記憶にとどまる」と続ける。</w:t>
      </w:r>
    </w:p>
    <w:p>
      <w:pPr>
        <w:spacing w:after="20" w:before="60" w:line="300" w:lineRule="auto"/>
      </w:pPr>
      <w:r>
        <w:rPr>
          <w:rFonts w:ascii="游ゴシック" w:hAnsi="游ゴシック" w:eastAsia="游ゴシック"/>
          <w:b/>
          <w:color w:val="17321A"/>
          <w:sz w:val="21"/>
        </w:rPr>
        <w:t>2. 三つ目の性質「場面応答性」も説明する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「三つ目は、場面応答性である。」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一般性・関係性には説明があるのに、場面応答性だけ名前のみ。「必要な場面で使えること」と一言加える。</w:t>
      </w:r>
    </w:p>
    <w:p>
      <w:pPr>
        <w:spacing w:after="20" w:before="60" w:line="300" w:lineRule="auto"/>
      </w:pPr>
      <w:r>
        <w:rPr>
          <w:rFonts w:ascii="游ゴシック" w:hAnsi="游ゴシック" w:eastAsia="游ゴシック"/>
          <w:b/>
          <w:color w:val="17321A"/>
          <w:sz w:val="21"/>
        </w:rPr>
        <w:t>3. 理由の文のねじれを直す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「なぜなら、問題文の孤立した知識は役に立たないや、知識は他の知識とリッチな関係を持たなければならないという部分からである。」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「〜や、〜という部分からである」は文として成り立っていない。「孤立した知識は役に立たないという本文の指摘に、自分の勉強の経験から納得できるからだ」とする。</w:t>
      </w:r>
    </w:p>
    <w:p>
      <w:pPr>
        <w:spacing w:after="20" w:before="60" w:line="300" w:lineRule="auto"/>
      </w:pPr>
      <w:r>
        <w:rPr>
          <w:rFonts w:ascii="游ゴシック" w:hAnsi="游ゴシック" w:eastAsia="游ゴシック"/>
          <w:b/>
          <w:color w:val="17321A"/>
          <w:sz w:val="21"/>
        </w:rPr>
        <w:t>4. 主張の繰り返しを減らす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「以上より、私は、筆者のそうしたことを考える作業を行わない限り、知識ではないという主張に賛成である。」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第一段落とほぼ同じ文。結論では「知識は覚えるだけでなく、ほかの知識とつなげ、使う場面を考えることで身につく」と、自分の言葉でまとめ直す。</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あなたの答案（579字）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設問1</w:t>
            </w:r>
          </w:p>
          <w:p>
            <w:pPr>
              <w:spacing w:after="0" w:line="288" w:lineRule="auto"/>
            </w:pPr>
            <w:r>
              <w:rPr>
                <w:rFonts w:ascii="游ゴシック" w:hAnsi="游ゴシック" w:eastAsia="游ゴシック"/>
                <w:b/>
                <w:color w:val="2C5F2D"/>
                <w:sz w:val="19"/>
              </w:rPr>
              <w:t>200字</w:t>
            </w:r>
          </w:p>
        </w:tc>
        <w:tc>
          <w:tcPr>
            <w:tcW w:type="dxa" w:w="8277"/>
            <w:vAlign w:val="center"/>
          </w:tcPr>
          <w:p>
            <w:pPr>
              <w:spacing w:after="0" w:line="288" w:lineRule="auto"/>
            </w:pPr>
            <w:r/>
            <w:r>
              <w:rPr>
                <w:rFonts w:ascii="游明朝" w:hAnsi="游明朝" w:eastAsia="游明朝"/>
                <w:b w:val="0"/>
                <w:color w:val="23301F"/>
                <w:sz w:val="21"/>
              </w:rPr>
              <w:t>知識は持ち運んだり、誰かに渡したり、誰かから受け取ったりできることを意味する。有用性を持つ知識には、三つの性質を持っている。一つ目は、簡単に言うといろいろな場面で使えるという性質を指す一般性である。二つ目は、関係性である。知識というのは他の知識とリッチな関係を持たなければならない。三つ目は、場面応答性である。そうしたことを考える作業を行わない限り、その事柄は記憶としてしか存在せず、知識にならない。</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設問2①</w:t>
            </w:r>
          </w:p>
          <w:p>
            <w:pPr>
              <w:spacing w:after="0" w:line="288" w:lineRule="auto"/>
            </w:pPr>
            <w:r>
              <w:rPr>
                <w:rFonts w:ascii="游ゴシック" w:hAnsi="游ゴシック" w:eastAsia="游ゴシック"/>
                <w:b/>
                <w:color w:val="2C5F2D"/>
                <w:sz w:val="19"/>
              </w:rPr>
              <w:t>45字</w:t>
            </w:r>
          </w:p>
        </w:tc>
        <w:tc>
          <w:tcPr>
            <w:tcW w:type="dxa" w:w="8277"/>
            <w:vAlign w:val="center"/>
          </w:tcPr>
          <w:p>
            <w:pPr>
              <w:spacing w:after="0" w:line="288" w:lineRule="auto"/>
            </w:pPr>
            <w:r/>
            <w:r>
              <w:rPr>
                <w:rFonts w:ascii="游明朝" w:hAnsi="游明朝" w:eastAsia="游明朝"/>
                <w:b w:val="0"/>
                <w:color w:val="23301F"/>
                <w:sz w:val="21"/>
              </w:rPr>
              <w:t>私は筆者のそうしたことを考える作業を行わない限り、知識とはならないという主張に賛成である。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設問2②</w:t>
            </w:r>
          </w:p>
          <w:p>
            <w:pPr>
              <w:spacing w:after="0" w:line="288" w:lineRule="auto"/>
            </w:pPr>
            <w:r>
              <w:rPr>
                <w:rFonts w:ascii="游ゴシック" w:hAnsi="游ゴシック" w:eastAsia="游ゴシック"/>
                <w:b/>
                <w:color w:val="2C5F2D"/>
                <w:sz w:val="19"/>
              </w:rPr>
              <w:t>246字</w:t>
            </w:r>
          </w:p>
        </w:tc>
        <w:tc>
          <w:tcPr>
            <w:tcW w:type="dxa" w:w="8277"/>
            <w:vAlign w:val="center"/>
          </w:tcPr>
          <w:p>
            <w:pPr>
              <w:spacing w:after="0" w:line="288" w:lineRule="auto"/>
            </w:pPr>
            <w:r/>
            <w:r>
              <w:rPr>
                <w:rFonts w:ascii="游明朝" w:hAnsi="游明朝" w:eastAsia="游明朝"/>
                <w:b w:val="0"/>
                <w:color w:val="23301F"/>
                <w:sz w:val="21"/>
              </w:rPr>
              <w:t>なぜなら、問題文の孤立した知識は役に立たないや、知識は他の知識とリッチな関係を持たなければならないという部分からである。私は、単発で何か覚えることには意味がなく、他の何かと一緒に考えなければ知識にはならないと考えている。例えば、英単語を覚える際単語帳の単語のみを赤シートで隠すだけでは知識にはならないのである。そのため、英単語だけでなく例文や同義語や対義語なども一緒に覚えることにより、知識になると考える。また、特に熟語を覚える時は単発で覚えるのではなく、例文や文法問題を通して覚えるべきだ。</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設問2③</w:t>
            </w:r>
          </w:p>
          <w:p>
            <w:pPr>
              <w:spacing w:after="0" w:line="288" w:lineRule="auto"/>
            </w:pPr>
            <w:r>
              <w:rPr>
                <w:rFonts w:ascii="游ゴシック" w:hAnsi="游ゴシック" w:eastAsia="游ゴシック"/>
                <w:b/>
                <w:color w:val="2C5F2D"/>
                <w:sz w:val="19"/>
              </w:rPr>
              <w:t>88字</w:t>
            </w:r>
          </w:p>
        </w:tc>
        <w:tc>
          <w:tcPr>
            <w:tcW w:type="dxa" w:w="8277"/>
            <w:vAlign w:val="center"/>
          </w:tcPr>
          <w:p>
            <w:pPr>
              <w:spacing w:after="0" w:line="288" w:lineRule="auto"/>
            </w:pPr>
            <w:r/>
            <w:r>
              <w:rPr>
                <w:rFonts w:ascii="游明朝" w:hAnsi="游明朝" w:eastAsia="游明朝"/>
                <w:b w:val="0"/>
                <w:color w:val="23301F"/>
                <w:sz w:val="21"/>
              </w:rPr>
              <w:t>以上より、私は、筆者のそうしたことを考える作業を行わない限り、知識ではないという主張に賛成である。私が教員になったら、深い知識を身につけさせるため話し合いの時間などを設けたい。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有用性を持つ知識には、三つの性質を持っている。</w:t>
            </w:r>
          </w:p>
        </w:tc>
        <w:tc>
          <w:tcPr>
            <w:tcW w:type="dxa" w:w="3402"/>
            <w:vAlign w:val="center"/>
          </w:tcPr>
          <w:p>
            <w:pPr>
              <w:spacing w:after="0" w:line="288" w:lineRule="auto"/>
            </w:pPr>
            <w:r/>
            <w:r>
              <w:rPr>
                <w:rFonts w:ascii="游明朝" w:hAnsi="游明朝" w:eastAsia="游明朝"/>
                <w:b/>
                <w:color w:val="2C5F2D"/>
                <w:sz w:val="19"/>
              </w:rPr>
              <w:t>有用な知識には、三つの性質が必要である。</w:t>
            </w:r>
          </w:p>
        </w:tc>
        <w:tc>
          <w:tcPr>
            <w:tcW w:type="dxa" w:w="2835"/>
            <w:vAlign w:val="center"/>
          </w:tcPr>
          <w:p>
            <w:pPr>
              <w:spacing w:after="0" w:line="288" w:lineRule="auto"/>
            </w:pPr>
            <w:r/>
            <w:r>
              <w:rPr>
                <w:rFonts w:ascii="游ゴシック" w:hAnsi="游ゴシック" w:eastAsia="游ゴシック"/>
                <w:b w:val="0"/>
                <w:color w:val="23301F"/>
                <w:sz w:val="18"/>
              </w:rPr>
              <w:t>「〜には、〜を持っている」のねじれ</w:t>
            </w:r>
          </w:p>
        </w:tc>
      </w:tr>
      <w:tr>
        <w:tc>
          <w:tcPr>
            <w:tcW w:type="dxa" w:w="3402"/>
            <w:vAlign w:val="center"/>
          </w:tcPr>
          <w:p>
            <w:pPr>
              <w:spacing w:after="0" w:line="288" w:lineRule="auto"/>
            </w:pPr>
            <w:r/>
            <w:r>
              <w:rPr>
                <w:rFonts w:ascii="游明朝" w:hAnsi="游明朝" w:eastAsia="游明朝"/>
                <w:b w:val="0"/>
                <w:color w:val="23301F"/>
                <w:sz w:val="19"/>
              </w:rPr>
              <w:t>簡単に言うといろいろな場面で使えるという性質を指す一般性である。</w:t>
            </w:r>
          </w:p>
        </w:tc>
        <w:tc>
          <w:tcPr>
            <w:tcW w:type="dxa" w:w="3402"/>
            <w:vAlign w:val="center"/>
          </w:tcPr>
          <w:p>
            <w:pPr>
              <w:spacing w:after="0" w:line="288" w:lineRule="auto"/>
            </w:pPr>
            <w:r/>
            <w:r>
              <w:rPr>
                <w:rFonts w:ascii="游明朝" w:hAnsi="游明朝" w:eastAsia="游明朝"/>
                <w:b/>
                <w:color w:val="2C5F2D"/>
                <w:sz w:val="19"/>
              </w:rPr>
              <w:t>いろいろな場面で使える一般性である。</w:t>
            </w:r>
          </w:p>
        </w:tc>
        <w:tc>
          <w:tcPr>
            <w:tcW w:type="dxa" w:w="2835"/>
            <w:vAlign w:val="center"/>
          </w:tcPr>
          <w:p>
            <w:pPr>
              <w:spacing w:after="0" w:line="288" w:lineRule="auto"/>
            </w:pPr>
            <w:r/>
            <w:r>
              <w:rPr>
                <w:rFonts w:ascii="游ゴシック" w:hAnsi="游ゴシック" w:eastAsia="游ゴシック"/>
                <w:b w:val="0"/>
                <w:color w:val="23301F"/>
                <w:sz w:val="18"/>
              </w:rPr>
              <w:t>「簡単に言うと」は本文の言い回しの写し。簡潔に</w:t>
            </w:r>
          </w:p>
        </w:tc>
      </w:tr>
      <w:tr>
        <w:tc>
          <w:tcPr>
            <w:tcW w:type="dxa" w:w="3402"/>
            <w:vAlign w:val="center"/>
          </w:tcPr>
          <w:p>
            <w:pPr>
              <w:spacing w:after="0" w:line="288" w:lineRule="auto"/>
            </w:pPr>
            <w:r/>
            <w:r>
              <w:rPr>
                <w:rFonts w:ascii="游明朝" w:hAnsi="游明朝" w:eastAsia="游明朝"/>
                <w:b w:val="0"/>
                <w:color w:val="23301F"/>
                <w:sz w:val="19"/>
              </w:rPr>
              <w:t>リッチな関係</w:t>
            </w:r>
          </w:p>
        </w:tc>
        <w:tc>
          <w:tcPr>
            <w:tcW w:type="dxa" w:w="3402"/>
            <w:vAlign w:val="center"/>
          </w:tcPr>
          <w:p>
            <w:pPr>
              <w:spacing w:after="0" w:line="288" w:lineRule="auto"/>
            </w:pPr>
            <w:r/>
            <w:r>
              <w:rPr>
                <w:rFonts w:ascii="游明朝" w:hAnsi="游明朝" w:eastAsia="游明朝"/>
                <w:b/>
                <w:color w:val="2C5F2D"/>
                <w:sz w:val="19"/>
              </w:rPr>
              <w:t>豊かな関係</w:t>
            </w:r>
          </w:p>
        </w:tc>
        <w:tc>
          <w:tcPr>
            <w:tcW w:type="dxa" w:w="2835"/>
            <w:vAlign w:val="center"/>
          </w:tcPr>
          <w:p>
            <w:pPr>
              <w:spacing w:after="0" w:line="288" w:lineRule="auto"/>
            </w:pPr>
            <w:r/>
            <w:r>
              <w:rPr>
                <w:rFonts w:ascii="游ゴシック" w:hAnsi="游ゴシック" w:eastAsia="游ゴシック"/>
                <w:b w:val="0"/>
                <w:color w:val="23301F"/>
                <w:sz w:val="18"/>
              </w:rPr>
              <w:t>本文の言葉でも、要約では書き言葉に言い換える</w:t>
            </w:r>
          </w:p>
        </w:tc>
      </w:tr>
      <w:tr>
        <w:tc>
          <w:tcPr>
            <w:tcW w:type="dxa" w:w="3402"/>
            <w:vAlign w:val="center"/>
          </w:tcPr>
          <w:p>
            <w:pPr>
              <w:spacing w:after="0" w:line="288" w:lineRule="auto"/>
            </w:pPr>
            <w:r/>
            <w:r>
              <w:rPr>
                <w:rFonts w:ascii="游明朝" w:hAnsi="游明朝" w:eastAsia="游明朝"/>
                <w:b w:val="0"/>
                <w:color w:val="23301F"/>
                <w:sz w:val="19"/>
              </w:rPr>
              <w:t>私は筆者のそうしたことを考える作業を行わない限り、</w:t>
            </w:r>
          </w:p>
        </w:tc>
        <w:tc>
          <w:tcPr>
            <w:tcW w:type="dxa" w:w="3402"/>
            <w:vAlign w:val="center"/>
          </w:tcPr>
          <w:p>
            <w:pPr>
              <w:spacing w:after="0" w:line="288" w:lineRule="auto"/>
            </w:pPr>
            <w:r/>
            <w:r>
              <w:rPr>
                <w:rFonts w:ascii="游明朝" w:hAnsi="游明朝" w:eastAsia="游明朝"/>
                <w:b/>
                <w:color w:val="2C5F2D"/>
                <w:sz w:val="19"/>
              </w:rPr>
              <w:t>私は、考える作業をしない限り知識にはならないという筆者の主張に賛成である。</w:t>
            </w:r>
          </w:p>
        </w:tc>
        <w:tc>
          <w:tcPr>
            <w:tcW w:type="dxa" w:w="2835"/>
            <w:vAlign w:val="center"/>
          </w:tcPr>
          <w:p>
            <w:pPr>
              <w:spacing w:after="0" w:line="288" w:lineRule="auto"/>
            </w:pPr>
            <w:r/>
            <w:r>
              <w:rPr>
                <w:rFonts w:ascii="游ゴシック" w:hAnsi="游ゴシック" w:eastAsia="游ゴシック"/>
                <w:b w:val="0"/>
                <w:color w:val="23301F"/>
                <w:sz w:val="18"/>
              </w:rPr>
              <w:t>「筆者の〜という主張」の間が長く、読みにくい</w:t>
            </w:r>
          </w:p>
        </w:tc>
      </w:tr>
      <w:tr>
        <w:tc>
          <w:tcPr>
            <w:tcW w:type="dxa" w:w="3402"/>
            <w:vAlign w:val="center"/>
          </w:tcPr>
          <w:p>
            <w:pPr>
              <w:spacing w:after="0" w:line="288" w:lineRule="auto"/>
            </w:pPr>
            <w:r/>
            <w:r>
              <w:rPr>
                <w:rFonts w:ascii="游明朝" w:hAnsi="游明朝" w:eastAsia="游明朝"/>
                <w:b w:val="0"/>
                <w:color w:val="23301F"/>
                <w:sz w:val="19"/>
              </w:rPr>
              <w:t>単発で何か覚えることには意味がなく</w:t>
            </w:r>
          </w:p>
        </w:tc>
        <w:tc>
          <w:tcPr>
            <w:tcW w:type="dxa" w:w="3402"/>
            <w:vAlign w:val="center"/>
          </w:tcPr>
          <w:p>
            <w:pPr>
              <w:spacing w:after="0" w:line="288" w:lineRule="auto"/>
            </w:pPr>
            <w:r/>
            <w:r>
              <w:rPr>
                <w:rFonts w:ascii="游明朝" w:hAnsi="游明朝" w:eastAsia="游明朝"/>
                <w:b/>
                <w:color w:val="2C5F2D"/>
                <w:sz w:val="19"/>
              </w:rPr>
              <w:t>一つだけを切り離して覚えることには意味がなく</w:t>
            </w:r>
          </w:p>
        </w:tc>
        <w:tc>
          <w:tcPr>
            <w:tcW w:type="dxa" w:w="2835"/>
            <w:vAlign w:val="center"/>
          </w:tcPr>
          <w:p>
            <w:pPr>
              <w:spacing w:after="0" w:line="288" w:lineRule="auto"/>
            </w:pPr>
            <w:r/>
            <w:r>
              <w:rPr>
                <w:rFonts w:ascii="游ゴシック" w:hAnsi="游ゴシック" w:eastAsia="游ゴシック"/>
                <w:b w:val="0"/>
                <w:color w:val="23301F"/>
                <w:sz w:val="18"/>
              </w:rPr>
              <w:t>「単発で」は話し言葉的</w:t>
            </w:r>
          </w:p>
        </w:tc>
      </w:tr>
      <w:tr>
        <w:tc>
          <w:tcPr>
            <w:tcW w:type="dxa" w:w="3402"/>
            <w:vAlign w:val="center"/>
          </w:tcPr>
          <w:p>
            <w:pPr>
              <w:spacing w:after="0" w:line="288" w:lineRule="auto"/>
            </w:pPr>
            <w:r/>
            <w:r>
              <w:rPr>
                <w:rFonts w:ascii="游明朝" w:hAnsi="游明朝" w:eastAsia="游明朝"/>
                <w:b w:val="0"/>
                <w:color w:val="23301F"/>
                <w:sz w:val="19"/>
              </w:rPr>
              <w:t>英単語を覚える際単語帳の</w:t>
            </w:r>
          </w:p>
        </w:tc>
        <w:tc>
          <w:tcPr>
            <w:tcW w:type="dxa" w:w="3402"/>
            <w:vAlign w:val="center"/>
          </w:tcPr>
          <w:p>
            <w:pPr>
              <w:spacing w:after="0" w:line="288" w:lineRule="auto"/>
            </w:pPr>
            <w:r/>
            <w:r>
              <w:rPr>
                <w:rFonts w:ascii="游明朝" w:hAnsi="游明朝" w:eastAsia="游明朝"/>
                <w:b/>
                <w:color w:val="2C5F2D"/>
                <w:sz w:val="19"/>
              </w:rPr>
              <w:t>英単語を覚える際、単語帳の</w:t>
            </w:r>
          </w:p>
        </w:tc>
        <w:tc>
          <w:tcPr>
            <w:tcW w:type="dxa" w:w="2835"/>
            <w:vAlign w:val="center"/>
          </w:tcPr>
          <w:p>
            <w:pPr>
              <w:spacing w:after="0" w:line="288" w:lineRule="auto"/>
            </w:pPr>
            <w:r/>
            <w:r>
              <w:rPr>
                <w:rFonts w:ascii="游ゴシック" w:hAnsi="游ゴシック" w:eastAsia="游ゴシック"/>
                <w:b w:val="0"/>
                <w:color w:val="23301F"/>
                <w:sz w:val="18"/>
              </w:rPr>
              <w:t>読点の抜け</w:t>
            </w:r>
          </w:p>
        </w:tc>
      </w:tr>
      <w:tr>
        <w:tc>
          <w:tcPr>
            <w:tcW w:type="dxa" w:w="3402"/>
            <w:vAlign w:val="center"/>
          </w:tcPr>
          <w:p>
            <w:pPr>
              <w:spacing w:after="0" w:line="288" w:lineRule="auto"/>
            </w:pPr>
            <w:r/>
            <w:r>
              <w:rPr>
                <w:rFonts w:ascii="游明朝" w:hAnsi="游明朝" w:eastAsia="游明朝"/>
                <w:b w:val="0"/>
                <w:color w:val="23301F"/>
                <w:sz w:val="19"/>
              </w:rPr>
              <w:t>深い知識を身につけさせるため話し合いの時間などを設けたい。</w:t>
            </w:r>
          </w:p>
        </w:tc>
        <w:tc>
          <w:tcPr>
            <w:tcW w:type="dxa" w:w="3402"/>
            <w:vAlign w:val="center"/>
          </w:tcPr>
          <w:p>
            <w:pPr>
              <w:spacing w:after="0" w:line="288" w:lineRule="auto"/>
            </w:pPr>
            <w:r/>
            <w:r>
              <w:rPr>
                <w:rFonts w:ascii="游明朝" w:hAnsi="游明朝" w:eastAsia="游明朝"/>
                <w:b/>
                <w:color w:val="2C5F2D"/>
                <w:sz w:val="19"/>
              </w:rPr>
              <w:t>生徒が学んだことを話し合い、つなげて考える時間を授業に設けたい。</w:t>
            </w:r>
          </w:p>
        </w:tc>
        <w:tc>
          <w:tcPr>
            <w:tcW w:type="dxa" w:w="2835"/>
            <w:vAlign w:val="center"/>
          </w:tcPr>
          <w:p>
            <w:pPr>
              <w:spacing w:after="0" w:line="288" w:lineRule="auto"/>
            </w:pPr>
            <w:r/>
            <w:r>
              <w:rPr>
                <w:rFonts w:ascii="游ゴシック" w:hAnsi="游ゴシック" w:eastAsia="游ゴシック"/>
                <w:b w:val="0"/>
                <w:color w:val="23301F"/>
                <w:sz w:val="18"/>
              </w:rPr>
              <w:t>本文の主張（自分で考える作業）に合わせる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【設問1】知識は持ち運べる（← 筆者が否定している考え）／三つの性質（場面応答性の説明なし）／考える作業なしでは記憶</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【設問1】筆者は「知識は受け渡しできる」という信念を否定 → 伝わるのは情報・記憶 → 一般性・関係性・場面応答性 → 考える作業で知識に</w:t>
            </w:r>
          </w:p>
        </w:tc>
      </w:tr>
      <w:tr>
        <w:tc>
          <w:tcPr>
            <w:tcW w:type="dxa" w:w="4819"/>
            <w:vAlign w:val="center"/>
          </w:tcPr>
          <w:p>
            <w:pPr>
              <w:spacing w:after="0" w:line="288" w:lineRule="auto"/>
            </w:pPr>
            <w:r/>
            <w:r>
              <w:rPr>
                <w:rFonts w:ascii="游ゴシック" w:hAnsi="游ゴシック" w:eastAsia="游ゴシック"/>
                <w:b w:val="0"/>
                <w:color w:val="23301F"/>
                <w:sz w:val="19"/>
              </w:rPr>
              <w:t>【設問2①】賛成</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【設問2①】賛成：孤立した知識は役に立たないという指摘に、勉強の経験から納得</w:t>
            </w:r>
          </w:p>
        </w:tc>
      </w:tr>
      <w:tr>
        <w:tc>
          <w:tcPr>
            <w:tcW w:type="dxa" w:w="4819"/>
            <w:vAlign w:val="center"/>
          </w:tcPr>
          <w:p>
            <w:pPr>
              <w:spacing w:after="0" w:line="288" w:lineRule="auto"/>
            </w:pPr>
            <w:r/>
            <w:r>
              <w:rPr>
                <w:rFonts w:ascii="游ゴシック" w:hAnsi="游ゴシック" w:eastAsia="游ゴシック"/>
                <w:b w:val="0"/>
                <w:color w:val="23301F"/>
                <w:sz w:val="19"/>
              </w:rPr>
              <w:t>【設問2②】理由：孤立した知識は役に立たない（文がねじれ）／例：英単語は赤シートだけでは×、例文・同義語・対義語と／熟語は文法問題で</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【設問2②】例：英単語を赤シートだけ → 記憶（関係性なし）→ 例文・同義語と覚える → 使える知識／熟語は場面応答性</w:t>
            </w:r>
          </w:p>
        </w:tc>
      </w:tr>
      <w:tr>
        <w:tc>
          <w:tcPr>
            <w:tcW w:type="dxa" w:w="4819"/>
            <w:vAlign w:val="center"/>
          </w:tcPr>
          <w:p>
            <w:pPr>
              <w:spacing w:after="0" w:line="288" w:lineRule="auto"/>
            </w:pPr>
            <w:r/>
            <w:r>
              <w:rPr>
                <w:rFonts w:ascii="游ゴシック" w:hAnsi="游ゴシック" w:eastAsia="游ゴシック"/>
                <w:b w:val="0"/>
                <w:color w:val="23301F"/>
                <w:sz w:val="19"/>
              </w:rPr>
              <w:t>【設問2③】賛成（くり返し）→ 教員として話し合いの時間を</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【設問2③】知識はつなげ、使う場面を考えて身につく → 授業に話し合い・つなげて考える時間を</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書き直し例（579字）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設問1</w:t>
            </w:r>
          </w:p>
          <w:p>
            <w:pPr>
              <w:spacing w:after="0" w:line="288" w:lineRule="auto"/>
            </w:pPr>
            <w:r>
              <w:rPr>
                <w:rFonts w:ascii="游ゴシック" w:hAnsi="游ゴシック" w:eastAsia="游ゴシック"/>
                <w:b/>
                <w:color w:val="2C5F2D"/>
                <w:sz w:val="19"/>
              </w:rPr>
              <w:t>187字</w:t>
            </w:r>
          </w:p>
        </w:tc>
        <w:tc>
          <w:tcPr>
            <w:tcW w:type="dxa" w:w="8277"/>
            <w:vAlign w:val="center"/>
          </w:tcPr>
          <w:p>
            <w:pPr>
              <w:spacing w:after="0" w:line="288" w:lineRule="auto"/>
            </w:pPr>
            <w:r/>
            <w:r>
              <w:rPr>
                <w:rFonts w:ascii="游明朝" w:hAnsi="游明朝" w:eastAsia="游明朝"/>
                <w:b w:val="0"/>
                <w:color w:val="23301F"/>
                <w:sz w:val="21"/>
              </w:rPr>
              <w:t>筆者は、知識は人から人へ受け渡しできるという多くの人の信念を否定している。本や先生が伝えるのは情報であり、覚えても記憶にとどまる。有用な知識には、いろいろな場面で使える一般性、他の知識と豊かに関係する関係性、必要な場面で使える場面応答性の三つが必要だ。伝えられた事柄の範囲や関係、使う場面を考える作業をしない限り、それは記憶でしかなく、知識にはならないと筆者は主張してい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設問2①</w:t>
            </w:r>
          </w:p>
          <w:p>
            <w:pPr>
              <w:spacing w:after="0" w:line="288" w:lineRule="auto"/>
            </w:pPr>
            <w:r>
              <w:rPr>
                <w:rFonts w:ascii="游ゴシック" w:hAnsi="游ゴシック" w:eastAsia="游ゴシック"/>
                <w:b/>
                <w:color w:val="2C5F2D"/>
                <w:sz w:val="19"/>
              </w:rPr>
              <w:t>113字</w:t>
            </w:r>
          </w:p>
        </w:tc>
        <w:tc>
          <w:tcPr>
            <w:tcW w:type="dxa" w:w="8277"/>
            <w:vAlign w:val="center"/>
          </w:tcPr>
          <w:p>
            <w:pPr>
              <w:spacing w:after="0" w:line="288" w:lineRule="auto"/>
            </w:pPr>
            <w:r/>
            <w:r>
              <w:rPr>
                <w:rFonts w:ascii="游明朝" w:hAnsi="游明朝" w:eastAsia="游明朝"/>
                <w:b w:val="0"/>
                <w:color w:val="23301F"/>
                <w:sz w:val="21"/>
              </w:rPr>
              <w:t>私は、考える作業をしない限り知識にはならないという筆者の主張に賛成である。孤立した知識は役に立たないという本文の指摘に、自分の勉強の経験から納得できるからだ。筆者の言う「考える作業」とは、知識同士をつなげることだと私は考え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設問2②</w:t>
            </w:r>
          </w:p>
          <w:p>
            <w:pPr>
              <w:spacing w:after="0" w:line="288" w:lineRule="auto"/>
            </w:pPr>
            <w:r>
              <w:rPr>
                <w:rFonts w:ascii="游ゴシック" w:hAnsi="游ゴシック" w:eastAsia="游ゴシック"/>
                <w:b/>
                <w:color w:val="2C5F2D"/>
                <w:sz w:val="19"/>
              </w:rPr>
              <w:t>191字</w:t>
            </w:r>
          </w:p>
        </w:tc>
        <w:tc>
          <w:tcPr>
            <w:tcW w:type="dxa" w:w="8277"/>
            <w:vAlign w:val="center"/>
          </w:tcPr>
          <w:p>
            <w:pPr>
              <w:spacing w:after="0" w:line="288" w:lineRule="auto"/>
            </w:pPr>
            <w:r/>
            <w:r>
              <w:rPr>
                <w:rFonts w:ascii="游明朝" w:hAnsi="游明朝" w:eastAsia="游明朝"/>
                <w:b w:val="0"/>
                <w:color w:val="23301F"/>
                <w:sz w:val="21"/>
              </w:rPr>
              <w:t>例えば、英単語を覚えるとき、単語帳の訳を赤シートで隠して暗記するだけでは、単語が孤立した記憶にとどまってしまう。本文の言う「記憶」であり、他の知識との関係性がないからだ。そこで、例文や同義語、対義語と一緒に覚えれば、単語がほかの言葉とつながり、文の中でも使える知識になる。熟語も、例文や文法問題を通して覚えれば、問題を解く場面で使えるようになる。これは本文の言う場面応答性にあた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設問2③</w:t>
            </w:r>
          </w:p>
          <w:p>
            <w:pPr>
              <w:spacing w:after="0" w:line="288" w:lineRule="auto"/>
            </w:pPr>
            <w:r>
              <w:rPr>
                <w:rFonts w:ascii="游ゴシック" w:hAnsi="游ゴシック" w:eastAsia="游ゴシック"/>
                <w:b/>
                <w:color w:val="2C5F2D"/>
                <w:sz w:val="19"/>
              </w:rPr>
              <w:t>88字</w:t>
            </w:r>
          </w:p>
        </w:tc>
        <w:tc>
          <w:tcPr>
            <w:tcW w:type="dxa" w:w="8277"/>
            <w:vAlign w:val="center"/>
          </w:tcPr>
          <w:p>
            <w:pPr>
              <w:spacing w:after="0" w:line="288" w:lineRule="auto"/>
            </w:pPr>
            <w:r/>
            <w:r>
              <w:rPr>
                <w:rFonts w:ascii="游明朝" w:hAnsi="游明朝" w:eastAsia="游明朝"/>
                <w:b w:val="0"/>
                <w:color w:val="23301F"/>
                <w:sz w:val="21"/>
              </w:rPr>
              <w:t>以上より、知識は覚えるだけでなく、ほかの知識とつなげ、使う場面を考えることで初めて身につく。私は教員になったら、生徒が学んだことを話し合い、つなげて考える時間を授業に設けたい。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大学全体：建学の精神・教育理念に共感し、学問への意欲と、多様性・主体性への姿勢を持つ学生</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文学部 教育学科：本学の教育の理念を理解し、学ぶ意欲が高く、学科の求める学生像に合う学生を選抜（学科固有の方針本文は未確認）</w:t>
      </w:r>
    </w:p>
    <w:p>
      <w:pPr>
        <w:spacing w:after="40" w:before="40" w:line="300" w:lineRule="auto"/>
      </w:pPr>
      <w:r>
        <w:rPr>
          <w:rFonts w:ascii="游ゴシック" w:hAnsi="游ゴシック" w:eastAsia="游ゴシック"/>
          <w:b w:val="0"/>
          <w:color w:val="23301F"/>
          <w:sz w:val="21"/>
        </w:rPr>
        <w:t>「知識は教えれば伝わるものではない」という課題文は、教員を目指す人にとって中心的なテーマである。自分の勉強法から学び方を考え、授業づくりにつなげた点は、教育学科で学ぶ意欲として評価されやすい。</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要約では「筆者は〜を否定している／〜と主張している」と、誰の考えかをはっきり書く</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本文に「〜と考える人は多い。ところが〜」とあれば、筆者の主張は「ところが」の後ろにあると考える</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設問2の最初と最後で、同じ主張文を繰り返さない</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