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2026-10-23</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令和7年度 Ⅰ期（10月24日）・2回目</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人生は宝くじ　／　ヨシタケシンスケ『思わず考えちゃう』</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筆者の主張に対するあなたの意見を、具体的な経験や見聞きした事例をまじえて600字で述べなさい。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554字（規定の範囲内）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65</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1回目と比べて、筆者の主張（すべてを「宝くじを買っている」と考える／嫌なことを乗り切れる）を正しく取り出せている。ただ、反対の理由が筆者の主張とずれている。筆者は「人生は簡単だ」とも「軽々と乗り切れる」とも言っておらず、十年、二十年かかるのは「本当につらかった思い出」の話で、宝くじ方式は「昨日の嫌なこと・来週の嫌なこと」に使う考え方だと書いてい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要約→反対→理由二つ→結論の形が整い、理由を先に書く「一つ目は、〜からである」もできている。理由①は「しょうがないとなる」の後に、それがなぜ良くないのか（努力ややり方を見直さなくなる）が書かれていない。理由②は、宝くじ方式は「選び方」ではなく「結果のとらえ方」なので、「宝くじ方式に頼らず相談して決めた」とつなぐと話がずれる。</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文理選択で先生や親と話し合って決めたこと、「理系の方が良かったのかな」と感じたことという、自分の本当の経験が入っていて良い（1回目より具体的）。一方、理由①は「大きな壁にぶつかった時」で止まり、具体例がない。</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結論で「教師になったら、人と相談して乗り切れるよう支援したい」と、教員としての姿につなげられている。1回目にあった「大学で教育相談を学びたい」のような、大学での学びの一言があるとさらに良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554字（規定の92%）で字数は十分。「文型・理型」は「文系・理系」の誤り。「〜のだ」が5回、「合わない」が2回、「私は、」が文頭に続くなど、くり返しが多い。「文理選択や大学選びなどでは、〜ものであり」はねじれ文。</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1回目は本物の宝くじの楽しさの話になっていたが、今回は筆者の主張を正しく要約し、自分の文理選択の経験を使って書けていて、大きく前進している。立場を「反対」に変えたのも、自分の考えで書こうとした結果として良い挑戦である。ただ、反対の理由が「人生は簡単ではない」「軽々と乗り切れるわけではない」と、筆者が言っていないことへの反論になっている。宝くじ方式は「結果をどう受け止めるか」の考え方なので、「結果をしょうがないで済ませると、努力や選び方を見直さなくなる」のように、筆者の考えの弱いところをはっきり示すと、反対意見として説得力が出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1回目より要約が正確になり、「筆者は〜と主張している」の形で書けている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「一つ目は、〜からである」と理由を先に書けている（前回の課題をクリア）</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文理選択で先生や親と話し合ったこと、「理系の方が良かったのかな」と迷ったことという、自分だけの経験がある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結論で、教師として子どもをどう支えたいかを書いている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筆者が言っていないことに反論しない</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「それを軽々となんとか乗り切れるという文は、絶対に合わないと考える。」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筆者は「軽々と」とは言っていない。本文では「本当につらかった思い出は十年、二十年かかる」と認めた上で、「昨日の嫌なこと、来週の嫌なこと」を乗り切る方法として宝くじ方式を出している。反論する前に、筆者が何に使う考え方だと言っているかを確かめる。</w:t>
      </w:r>
    </w:p>
    <w:p>
      <w:pPr>
        <w:spacing w:after="20" w:before="60" w:line="300" w:lineRule="auto"/>
      </w:pPr>
      <w:r>
        <w:rPr>
          <w:rFonts w:ascii="游ゴシック" w:hAnsi="游ゴシック" w:eastAsia="游ゴシック"/>
          <w:b/>
          <w:color w:val="17321A"/>
          <w:sz w:val="21"/>
        </w:rPr>
        <w:t>2. 「しょうがない」の何が問題かを書く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「良い結果がついてこなくてもしょうがないとなるだろう。」</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ここで止まると、筆者の言う通り（当たらなくても文句を言わない）になってしまう。「そう考えると、自分の努力ややり方を見直さなくなる」のように、なぜ良くないのかを一文足す。</w:t>
      </w:r>
    </w:p>
    <w:p>
      <w:pPr>
        <w:spacing w:after="20" w:before="60" w:line="300" w:lineRule="auto"/>
      </w:pPr>
      <w:r>
        <w:rPr>
          <w:rFonts w:ascii="游ゴシック" w:hAnsi="游ゴシック" w:eastAsia="游ゴシック"/>
          <w:b/>
          <w:color w:val="17321A"/>
          <w:sz w:val="21"/>
        </w:rPr>
        <w:t>3. 宝くじ方式は「選び方」ではなく「受け止め方」</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「決して宝くじ方式に頼ることはしなかったのだ。」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宝くじ方式は、選んだ後の結果をどう受け止めるかの考え方。「理系の方が良かったのかな」と感じた時こそ、筆者の考えに当てはまる場面。「確かにそう考えると支えになる。しかし、それは相談して自分で選んだからこそ言える」と書くと、自分の経験を生かした深い反論になる。</w:t>
      </w:r>
    </w:p>
    <w:p>
      <w:pPr>
        <w:spacing w:after="20" w:before="60" w:line="300" w:lineRule="auto"/>
      </w:pPr>
      <w:r>
        <w:rPr>
          <w:rFonts w:ascii="游ゴシック" w:hAnsi="游ゴシック" w:eastAsia="游ゴシック"/>
          <w:b/>
          <w:color w:val="17321A"/>
          <w:sz w:val="21"/>
        </w:rPr>
        <w:t>4. 表記のくり返しを減らす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「これからの人生が決まるのだ。／決定したのだ。／しなかったのだ。」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「〜のだ」は強調なので、1本に1〜2回まで。ふつうは「〜である」「〜た」で終える。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あなたの答案（554字）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要約</w:t>
            </w:r>
          </w:p>
          <w:p>
            <w:pPr>
              <w:spacing w:after="0" w:line="288" w:lineRule="auto"/>
            </w:pPr>
            <w:r>
              <w:rPr>
                <w:rFonts w:ascii="游ゴシック" w:hAnsi="游ゴシック" w:eastAsia="游ゴシック"/>
                <w:b/>
                <w:color w:val="2C5F2D"/>
                <w:sz w:val="19"/>
              </w:rPr>
              <w:t>119字</w:t>
            </w:r>
          </w:p>
        </w:tc>
        <w:tc>
          <w:tcPr>
            <w:tcW w:type="dxa" w:w="8277"/>
            <w:vAlign w:val="center"/>
          </w:tcPr>
          <w:p>
            <w:pPr>
              <w:spacing w:after="0" w:line="288" w:lineRule="auto"/>
            </w:pPr>
            <w:r/>
            <w:r>
              <w:rPr>
                <w:rFonts w:ascii="游明朝" w:hAnsi="游明朝" w:eastAsia="游明朝"/>
                <w:b w:val="0"/>
                <w:color w:val="23301F"/>
                <w:sz w:val="21"/>
              </w:rPr>
              <w:t>筆者は、選ぶこと、見ること、聞くこと、自分の身に起こること、すべて「宝くじを買っている」と考え、何か別の大きなものになるかもしれないと主張している。また、この宝くじ方式を導入すると、嫌なことをなんとか乗り切れるのではないかと主張してい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28字</w:t>
            </w:r>
          </w:p>
        </w:tc>
        <w:tc>
          <w:tcPr>
            <w:tcW w:type="dxa" w:w="8277"/>
            <w:vAlign w:val="center"/>
          </w:tcPr>
          <w:p>
            <w:pPr>
              <w:spacing w:after="0" w:line="288" w:lineRule="auto"/>
            </w:pPr>
            <w:r/>
            <w:r>
              <w:rPr>
                <w:rFonts w:ascii="游明朝" w:hAnsi="游明朝" w:eastAsia="游明朝"/>
                <w:b w:val="0"/>
                <w:color w:val="23301F"/>
                <w:sz w:val="21"/>
              </w:rPr>
              <w:t>私は、その筆者の主張に反対である。その理由は、二つある。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理由①</w:t>
            </w:r>
          </w:p>
          <w:p>
            <w:pPr>
              <w:spacing w:after="0" w:line="288" w:lineRule="auto"/>
            </w:pPr>
            <w:r>
              <w:rPr>
                <w:rFonts w:ascii="游ゴシック" w:hAnsi="游ゴシック" w:eastAsia="游ゴシック"/>
                <w:b/>
                <w:color w:val="2C5F2D"/>
                <w:sz w:val="19"/>
              </w:rPr>
              <w:t>115字</w:t>
            </w:r>
          </w:p>
        </w:tc>
        <w:tc>
          <w:tcPr>
            <w:tcW w:type="dxa" w:w="8277"/>
            <w:vAlign w:val="center"/>
          </w:tcPr>
          <w:p>
            <w:pPr>
              <w:spacing w:after="0" w:line="288" w:lineRule="auto"/>
            </w:pPr>
            <w:r/>
            <w:r>
              <w:rPr>
                <w:rFonts w:ascii="游明朝" w:hAnsi="游明朝" w:eastAsia="游明朝"/>
                <w:b w:val="0"/>
                <w:color w:val="23301F"/>
                <w:sz w:val="21"/>
              </w:rPr>
              <w:t>一つ目は、人生は簡単なものではないからである。例えば、何か大きな壁にぶつかってしまった時だ。それを宝くじ方式で考えていたら、良い結果がついてこなくてもしょうがないとなるだろう。また、つらいことを十年、二十年も待っていられないの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理由②</w:t>
            </w:r>
          </w:p>
          <w:p>
            <w:pPr>
              <w:spacing w:after="0" w:line="288" w:lineRule="auto"/>
            </w:pPr>
            <w:r>
              <w:rPr>
                <w:rFonts w:ascii="游ゴシック" w:hAnsi="游ゴシック" w:eastAsia="游ゴシック"/>
                <w:b/>
                <w:color w:val="2C5F2D"/>
                <w:sz w:val="19"/>
              </w:rPr>
              <w:t>219字</w:t>
            </w:r>
          </w:p>
        </w:tc>
        <w:tc>
          <w:tcPr>
            <w:tcW w:type="dxa" w:w="8277"/>
            <w:vAlign w:val="center"/>
          </w:tcPr>
          <w:p>
            <w:pPr>
              <w:spacing w:after="0" w:line="288" w:lineRule="auto"/>
            </w:pPr>
            <w:r/>
            <w:r>
              <w:rPr>
                <w:rFonts w:ascii="游明朝" w:hAnsi="游明朝" w:eastAsia="游明朝"/>
                <w:b w:val="0"/>
                <w:color w:val="23301F"/>
                <w:sz w:val="21"/>
              </w:rPr>
              <w:t>二つ目は、さまざまな進路選択について、筆者の主張のなんとか乗り切れるという部分が合わないと感じたからである。文理選択や大学選びなどでは、将来の職業につながるものであり、これからの人生が決まるのだ。それを軽々となんとか乗り切れるという文は、絶対に合わないと考える。私は、文型に進んだが「理型に進んだほうが良かったのかな」と感じたこともあった。私は、文理選択時に先生と親と話し合いの末決定したのだ。決して宝くじ方式に頼ることはしなかったの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73字</w:t>
            </w:r>
          </w:p>
        </w:tc>
        <w:tc>
          <w:tcPr>
            <w:tcW w:type="dxa" w:w="8277"/>
            <w:vAlign w:val="center"/>
          </w:tcPr>
          <w:p>
            <w:pPr>
              <w:spacing w:after="0" w:line="288" w:lineRule="auto"/>
            </w:pPr>
            <w:r/>
            <w:r>
              <w:rPr>
                <w:rFonts w:ascii="游明朝" w:hAnsi="游明朝" w:eastAsia="游明朝"/>
                <w:b w:val="0"/>
                <w:color w:val="23301F"/>
                <w:sz w:val="21"/>
              </w:rPr>
              <w:t>以上より、私は筆者の主張に反対である。私が教師になったら、子どもに宝くじ方式を教えるのではなく、人と相談することをして乗り切れるよう、支援したい。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文型に進んだが「理型に進んだほうが</w:t>
            </w:r>
          </w:p>
        </w:tc>
        <w:tc>
          <w:tcPr>
            <w:tcW w:type="dxa" w:w="3402"/>
            <w:vAlign w:val="center"/>
          </w:tcPr>
          <w:p>
            <w:pPr>
              <w:spacing w:after="0" w:line="288" w:lineRule="auto"/>
            </w:pPr>
            <w:r/>
            <w:r>
              <w:rPr>
                <w:rFonts w:ascii="游明朝" w:hAnsi="游明朝" w:eastAsia="游明朝"/>
                <w:b/>
                <w:color w:val="2C5F2D"/>
                <w:sz w:val="19"/>
              </w:rPr>
              <w:t>文系に進んだが「理系に進んだほうが</w:t>
            </w:r>
          </w:p>
        </w:tc>
        <w:tc>
          <w:tcPr>
            <w:tcW w:type="dxa" w:w="2835"/>
            <w:vAlign w:val="center"/>
          </w:tcPr>
          <w:p>
            <w:pPr>
              <w:spacing w:after="0" w:line="288" w:lineRule="auto"/>
            </w:pPr>
            <w:r/>
            <w:r>
              <w:rPr>
                <w:rFonts w:ascii="游ゴシック" w:hAnsi="游ゴシック" w:eastAsia="游ゴシック"/>
                <w:b w:val="0"/>
                <w:color w:val="23301F"/>
                <w:sz w:val="18"/>
              </w:rPr>
              <w:t>「文系・理系」が正しい漢字</w:t>
            </w:r>
          </w:p>
        </w:tc>
      </w:tr>
      <w:tr>
        <w:tc>
          <w:tcPr>
            <w:tcW w:type="dxa" w:w="3402"/>
            <w:vAlign w:val="center"/>
          </w:tcPr>
          <w:p>
            <w:pPr>
              <w:spacing w:after="0" w:line="288" w:lineRule="auto"/>
            </w:pPr>
            <w:r/>
            <w:r>
              <w:rPr>
                <w:rFonts w:ascii="游明朝" w:hAnsi="游明朝" w:eastAsia="游明朝"/>
                <w:b w:val="0"/>
                <w:color w:val="23301F"/>
                <w:sz w:val="19"/>
              </w:rPr>
              <w:t>文理選択や大学選びなどでは、将来の職業につながるものであり、これからの人生が決まるのだ。</w:t>
            </w:r>
          </w:p>
        </w:tc>
        <w:tc>
          <w:tcPr>
            <w:tcW w:type="dxa" w:w="3402"/>
            <w:vAlign w:val="center"/>
          </w:tcPr>
          <w:p>
            <w:pPr>
              <w:spacing w:after="0" w:line="288" w:lineRule="auto"/>
            </w:pPr>
            <w:r/>
            <w:r>
              <w:rPr>
                <w:rFonts w:ascii="游明朝" w:hAnsi="游明朝" w:eastAsia="游明朝"/>
                <w:b/>
                <w:color w:val="2C5F2D"/>
                <w:sz w:val="19"/>
              </w:rPr>
              <w:t>文理選択や大学選びは、将来の職業につながり、これからの人生を左右する。</w:t>
            </w:r>
          </w:p>
        </w:tc>
        <w:tc>
          <w:tcPr>
            <w:tcW w:type="dxa" w:w="2835"/>
            <w:vAlign w:val="center"/>
          </w:tcPr>
          <w:p>
            <w:pPr>
              <w:spacing w:after="0" w:line="288" w:lineRule="auto"/>
            </w:pPr>
            <w:r/>
            <w:r>
              <w:rPr>
                <w:rFonts w:ascii="游ゴシック" w:hAnsi="游ゴシック" w:eastAsia="游ゴシック"/>
                <w:b w:val="0"/>
                <w:color w:val="23301F"/>
                <w:sz w:val="18"/>
              </w:rPr>
              <w:t>「〜などでは」と「〜ものであり」がかみ合わないねじれ文</w:t>
            </w:r>
          </w:p>
        </w:tc>
      </w:tr>
      <w:tr>
        <w:tc>
          <w:tcPr>
            <w:tcW w:type="dxa" w:w="3402"/>
            <w:vAlign w:val="center"/>
          </w:tcPr>
          <w:p>
            <w:pPr>
              <w:spacing w:after="0" w:line="288" w:lineRule="auto"/>
            </w:pPr>
            <w:r/>
            <w:r>
              <w:rPr>
                <w:rFonts w:ascii="游明朝" w:hAnsi="游明朝" w:eastAsia="游明朝"/>
                <w:b w:val="0"/>
                <w:color w:val="23301F"/>
                <w:sz w:val="19"/>
              </w:rPr>
              <w:t>筆者の主張のなんとか乗り切れるという部分が合わないと感じたからである</w:t>
            </w:r>
          </w:p>
        </w:tc>
        <w:tc>
          <w:tcPr>
            <w:tcW w:type="dxa" w:w="3402"/>
            <w:vAlign w:val="center"/>
          </w:tcPr>
          <w:p>
            <w:pPr>
              <w:spacing w:after="0" w:line="288" w:lineRule="auto"/>
            </w:pPr>
            <w:r/>
            <w:r>
              <w:rPr>
                <w:rFonts w:ascii="游明朝" w:hAnsi="游明朝" w:eastAsia="游明朝"/>
                <w:b/>
                <w:color w:val="2C5F2D"/>
                <w:sz w:val="19"/>
              </w:rPr>
              <w:t>「なんとか乗り切れる」という筆者の考えが当てはまらないと考えるからである</w:t>
            </w:r>
          </w:p>
        </w:tc>
        <w:tc>
          <w:tcPr>
            <w:tcW w:type="dxa" w:w="2835"/>
            <w:vAlign w:val="center"/>
          </w:tcPr>
          <w:p>
            <w:pPr>
              <w:spacing w:after="0" w:line="288" w:lineRule="auto"/>
            </w:pPr>
            <w:r/>
            <w:r>
              <w:rPr>
                <w:rFonts w:ascii="游ゴシック" w:hAnsi="游ゴシック" w:eastAsia="游ゴシック"/>
                <w:b w:val="0"/>
                <w:color w:val="23301F"/>
                <w:sz w:val="18"/>
              </w:rPr>
              <w:t>「の」が続いて読みにくい。「感じた」より「考える」が論文向き</w:t>
            </w:r>
          </w:p>
        </w:tc>
      </w:tr>
      <w:tr>
        <w:tc>
          <w:tcPr>
            <w:tcW w:type="dxa" w:w="3402"/>
            <w:vAlign w:val="center"/>
          </w:tcPr>
          <w:p>
            <w:pPr>
              <w:spacing w:after="0" w:line="288" w:lineRule="auto"/>
            </w:pPr>
            <w:r/>
            <w:r>
              <w:rPr>
                <w:rFonts w:ascii="游明朝" w:hAnsi="游明朝" w:eastAsia="游明朝"/>
                <w:b w:val="0"/>
                <w:color w:val="23301F"/>
                <w:sz w:val="19"/>
              </w:rPr>
              <w:t>私は、文理選択時に先生と親と話し合いの末決定したのだ。</w:t>
            </w:r>
          </w:p>
        </w:tc>
        <w:tc>
          <w:tcPr>
            <w:tcW w:type="dxa" w:w="3402"/>
            <w:vAlign w:val="center"/>
          </w:tcPr>
          <w:p>
            <w:pPr>
              <w:spacing w:after="0" w:line="288" w:lineRule="auto"/>
            </w:pPr>
            <w:r/>
            <w:r>
              <w:rPr>
                <w:rFonts w:ascii="游明朝" w:hAnsi="游明朝" w:eastAsia="游明朝"/>
                <w:b/>
                <w:color w:val="2C5F2D"/>
                <w:sz w:val="19"/>
              </w:rPr>
              <w:t>私は文理選択の時、先生や親と話し合ってから決めた。</w:t>
            </w:r>
          </w:p>
        </w:tc>
        <w:tc>
          <w:tcPr>
            <w:tcW w:type="dxa" w:w="2835"/>
            <w:vAlign w:val="center"/>
          </w:tcPr>
          <w:p>
            <w:pPr>
              <w:spacing w:after="0" w:line="288" w:lineRule="auto"/>
            </w:pPr>
            <w:r/>
            <w:r>
              <w:rPr>
                <w:rFonts w:ascii="游ゴシック" w:hAnsi="游ゴシック" w:eastAsia="游ゴシック"/>
                <w:b w:val="0"/>
                <w:color w:val="23301F"/>
                <w:sz w:val="18"/>
              </w:rPr>
              <w:t>「〜のだ」を減らし、自然な言い方にする</w:t>
            </w:r>
          </w:p>
        </w:tc>
      </w:tr>
      <w:tr>
        <w:tc>
          <w:tcPr>
            <w:tcW w:type="dxa" w:w="3402"/>
            <w:vAlign w:val="center"/>
          </w:tcPr>
          <w:p>
            <w:pPr>
              <w:spacing w:after="0" w:line="288" w:lineRule="auto"/>
            </w:pPr>
            <w:r/>
            <w:r>
              <w:rPr>
                <w:rFonts w:ascii="游明朝" w:hAnsi="游明朝" w:eastAsia="游明朝"/>
                <w:b w:val="0"/>
                <w:color w:val="23301F"/>
                <w:sz w:val="19"/>
              </w:rPr>
              <w:t>人と相談することをして乗り切れるよう</w:t>
            </w:r>
          </w:p>
        </w:tc>
        <w:tc>
          <w:tcPr>
            <w:tcW w:type="dxa" w:w="3402"/>
            <w:vAlign w:val="center"/>
          </w:tcPr>
          <w:p>
            <w:pPr>
              <w:spacing w:after="0" w:line="288" w:lineRule="auto"/>
            </w:pPr>
            <w:r/>
            <w:r>
              <w:rPr>
                <w:rFonts w:ascii="游明朝" w:hAnsi="游明朝" w:eastAsia="游明朝"/>
                <w:b/>
                <w:color w:val="2C5F2D"/>
                <w:sz w:val="19"/>
              </w:rPr>
              <w:t>人と相談しながら乗り切れるよう</w:t>
            </w:r>
          </w:p>
        </w:tc>
        <w:tc>
          <w:tcPr>
            <w:tcW w:type="dxa" w:w="2835"/>
            <w:vAlign w:val="center"/>
          </w:tcPr>
          <w:p>
            <w:pPr>
              <w:spacing w:after="0" w:line="288" w:lineRule="auto"/>
            </w:pPr>
            <w:r/>
            <w:r>
              <w:rPr>
                <w:rFonts w:ascii="游ゴシック" w:hAnsi="游ゴシック" w:eastAsia="游ゴシック"/>
                <w:b w:val="0"/>
                <w:color w:val="23301F"/>
                <w:sz w:val="18"/>
              </w:rPr>
              <w:t>「相談することをして」は回りくどい</w:t>
            </w:r>
          </w:p>
        </w:tc>
      </w:tr>
      <w:tr>
        <w:tc>
          <w:tcPr>
            <w:tcW w:type="dxa" w:w="3402"/>
            <w:vAlign w:val="center"/>
          </w:tcPr>
          <w:p>
            <w:pPr>
              <w:spacing w:after="0" w:line="288" w:lineRule="auto"/>
            </w:pPr>
            <w:r/>
            <w:r>
              <w:rPr>
                <w:rFonts w:ascii="游明朝" w:hAnsi="游明朝" w:eastAsia="游明朝"/>
                <w:b w:val="0"/>
                <w:color w:val="23301F"/>
                <w:sz w:val="19"/>
              </w:rPr>
              <w:t>私が教師になったら</w:t>
            </w:r>
          </w:p>
        </w:tc>
        <w:tc>
          <w:tcPr>
            <w:tcW w:type="dxa" w:w="3402"/>
            <w:vAlign w:val="center"/>
          </w:tcPr>
          <w:p>
            <w:pPr>
              <w:spacing w:after="0" w:line="288" w:lineRule="auto"/>
            </w:pPr>
            <w:r/>
            <w:r>
              <w:rPr>
                <w:rFonts w:ascii="游明朝" w:hAnsi="游明朝" w:eastAsia="游明朝"/>
                <w:b/>
                <w:color w:val="2C5F2D"/>
                <w:sz w:val="19"/>
              </w:rPr>
              <w:t>私が教員になったら</w:t>
            </w:r>
          </w:p>
        </w:tc>
        <w:tc>
          <w:tcPr>
            <w:tcW w:type="dxa" w:w="2835"/>
            <w:vAlign w:val="center"/>
          </w:tcPr>
          <w:p>
            <w:pPr>
              <w:spacing w:after="0" w:line="288" w:lineRule="auto"/>
            </w:pPr>
            <w:r/>
            <w:r>
              <w:rPr>
                <w:rFonts w:ascii="游ゴシック" w:hAnsi="游ゴシック" w:eastAsia="游ゴシック"/>
                <w:b w:val="0"/>
                <w:color w:val="23301F"/>
                <w:sz w:val="18"/>
              </w:rPr>
              <w:t>他の答案で使っている「教員」にそろえると統一感が出る（どちらも誤りではない）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【要約】すべて宝くじと考える → 別の大きなもの／嫌なことを乗り切れる（正確）</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【要約】すべて「宝くじを買っている」と考える → つらい経験も化けるかも → 嫌なことを乗り切れる</w:t>
            </w:r>
          </w:p>
        </w:tc>
      </w:tr>
      <w:tr>
        <w:tc>
          <w:tcPr>
            <w:tcW w:type="dxa" w:w="4819"/>
            <w:vAlign w:val="center"/>
          </w:tcPr>
          <w:p>
            <w:pPr>
              <w:spacing w:after="0" w:line="288" w:lineRule="auto"/>
            </w:pPr>
            <w:r/>
            <w:r>
              <w:rPr>
                <w:rFonts w:ascii="游ゴシック" w:hAnsi="游ゴシック" w:eastAsia="游ゴシック"/>
                <w:b w:val="0"/>
                <w:color w:val="23301F"/>
                <w:sz w:val="19"/>
              </w:rPr>
              <w:t>【主張】反対／理由は二つ</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【主張】前向きにとらえる点は理解／しかし反対</w:t>
            </w:r>
          </w:p>
        </w:tc>
      </w:tr>
      <w:tr>
        <w:tc>
          <w:tcPr>
            <w:tcW w:type="dxa" w:w="4819"/>
            <w:vAlign w:val="center"/>
          </w:tcPr>
          <w:p>
            <w:pPr>
              <w:spacing w:after="0" w:line="288" w:lineRule="auto"/>
            </w:pPr>
            <w:r/>
            <w:r>
              <w:rPr>
                <w:rFonts w:ascii="游ゴシック" w:hAnsi="游ゴシック" w:eastAsia="游ゴシック"/>
                <w:b w:val="0"/>
                <w:color w:val="23301F"/>
                <w:sz w:val="19"/>
              </w:rPr>
              <w:t>【理由①】人生は簡単ではない → 大きな壁 → しょうがないとなる（何が悪いか書いていない）／十年二十年待てない（← 筆者は日々の嫌なことの話）</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【理由①】当たらなければしょうがない → 努力ややり方を見直さなくなる → 壁に向き合うことが大切</w:t>
            </w:r>
          </w:p>
        </w:tc>
      </w:tr>
      <w:tr>
        <w:tc>
          <w:tcPr>
            <w:tcW w:type="dxa" w:w="4819"/>
            <w:vAlign w:val="center"/>
          </w:tcPr>
          <w:p>
            <w:pPr>
              <w:spacing w:after="0" w:line="288" w:lineRule="auto"/>
            </w:pPr>
            <w:r/>
            <w:r>
              <w:rPr>
                <w:rFonts w:ascii="游ゴシック" w:hAnsi="游ゴシック" w:eastAsia="游ゴシック"/>
                <w:b w:val="0"/>
                <w:color w:val="23301F"/>
                <w:sz w:val="19"/>
              </w:rPr>
              <w:t>【理由②】進路選択に「なんとか乗り切れる」は合わない（← 筆者は「軽々と」とは言っていない）→ 文理選択は相談して決めた／宝くじ方式に頼らない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【理由②】進路は運任せにしない → 文理選択は先生・親と相談 → 「理系が良かったかも」→ 確かに宝くじ方式は支え／しかし相談して選んだからこそ</w:t>
            </w:r>
          </w:p>
        </w:tc>
      </w:tr>
      <w:tr>
        <w:tc>
          <w:tcPr>
            <w:tcW w:type="dxa" w:w="4819"/>
            <w:vAlign w:val="center"/>
          </w:tcPr>
          <w:p>
            <w:pPr>
              <w:spacing w:after="0" w:line="288" w:lineRule="auto"/>
            </w:pPr>
            <w:r/>
            <w:r>
              <w:rPr>
                <w:rFonts w:ascii="游ゴシック" w:hAnsi="游ゴシック" w:eastAsia="游ゴシック"/>
                <w:b w:val="0"/>
                <w:color w:val="23301F"/>
                <w:sz w:val="19"/>
              </w:rPr>
              <w:t>【結論】反対／教師として相談して乗り切る支援</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【結論】反対／教員として、人と相談しながら自分で考えて乗り切る支援</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書き直し例（566字）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要約</w:t>
            </w:r>
          </w:p>
          <w:p>
            <w:pPr>
              <w:spacing w:after="0" w:line="288" w:lineRule="auto"/>
            </w:pPr>
            <w:r>
              <w:rPr>
                <w:rFonts w:ascii="游ゴシック" w:hAnsi="游ゴシック" w:eastAsia="游ゴシック"/>
                <w:b/>
                <w:color w:val="2C5F2D"/>
                <w:sz w:val="19"/>
              </w:rPr>
              <w:t>108字</w:t>
            </w:r>
          </w:p>
        </w:tc>
        <w:tc>
          <w:tcPr>
            <w:tcW w:type="dxa" w:w="8277"/>
            <w:vAlign w:val="center"/>
          </w:tcPr>
          <w:p>
            <w:pPr>
              <w:spacing w:after="0" w:line="288" w:lineRule="auto"/>
            </w:pPr>
            <w:r/>
            <w:r>
              <w:rPr>
                <w:rFonts w:ascii="游明朝" w:hAnsi="游明朝" w:eastAsia="游明朝"/>
                <w:b w:val="0"/>
                <w:color w:val="23301F"/>
                <w:sz w:val="21"/>
              </w:rPr>
              <w:t>筆者は、自分の身に起こることをすべて「宝くじを買っている」と考えればよいと述べている。つらい経験も、いつか何かに化けるかもしれないと思えば抱えていられる。この「宝くじ方式」を使えば、嫌なことも何とか乗り切れるという。</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47字</w:t>
            </w:r>
          </w:p>
        </w:tc>
        <w:tc>
          <w:tcPr>
            <w:tcW w:type="dxa" w:w="8277"/>
            <w:vAlign w:val="center"/>
          </w:tcPr>
          <w:p>
            <w:pPr>
              <w:spacing w:after="0" w:line="288" w:lineRule="auto"/>
            </w:pPr>
            <w:r/>
            <w:r>
              <w:rPr>
                <w:rFonts w:ascii="游明朝" w:hAnsi="游明朝" w:eastAsia="游明朝"/>
                <w:b w:val="0"/>
                <w:color w:val="23301F"/>
                <w:sz w:val="21"/>
              </w:rPr>
              <w:t>私は、つらい経験を前向きにとらえる点は理解できるが、筆者の主張には反対である。理由は二つある。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理由①</w:t>
            </w:r>
          </w:p>
          <w:p>
            <w:pPr>
              <w:spacing w:after="0" w:line="288" w:lineRule="auto"/>
            </w:pPr>
            <w:r>
              <w:rPr>
                <w:rFonts w:ascii="游ゴシック" w:hAnsi="游ゴシック" w:eastAsia="游ゴシック"/>
                <w:b/>
                <w:color w:val="2C5F2D"/>
                <w:sz w:val="19"/>
              </w:rPr>
              <w:t>135字</w:t>
            </w:r>
          </w:p>
        </w:tc>
        <w:tc>
          <w:tcPr>
            <w:tcW w:type="dxa" w:w="8277"/>
            <w:vAlign w:val="center"/>
          </w:tcPr>
          <w:p>
            <w:pPr>
              <w:spacing w:after="0" w:line="288" w:lineRule="auto"/>
            </w:pPr>
            <w:r/>
            <w:r>
              <w:rPr>
                <w:rFonts w:ascii="游明朝" w:hAnsi="游明朝" w:eastAsia="游明朝"/>
                <w:b w:val="0"/>
                <w:color w:val="23301F"/>
                <w:sz w:val="21"/>
              </w:rPr>
              <w:t>一つ目は、結果を「しょうがない」で済ませてしまうおそれがあるからである。筆者は、当たらなかったらしょうがないと述べている。しかし、大きな壁にぶつかった時にそう考えると、自分の努力ややり方を見直さなくなるのではないか。壁に向き合い、次にどうするかを考えることが大切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理由②</w:t>
            </w:r>
          </w:p>
          <w:p>
            <w:pPr>
              <w:spacing w:after="0" w:line="288" w:lineRule="auto"/>
            </w:pPr>
            <w:r>
              <w:rPr>
                <w:rFonts w:ascii="游ゴシック" w:hAnsi="游ゴシック" w:eastAsia="游ゴシック"/>
                <w:b/>
                <w:color w:val="2C5F2D"/>
                <w:sz w:val="19"/>
              </w:rPr>
              <w:t>197字</w:t>
            </w:r>
          </w:p>
        </w:tc>
        <w:tc>
          <w:tcPr>
            <w:tcW w:type="dxa" w:w="8277"/>
            <w:vAlign w:val="center"/>
          </w:tcPr>
          <w:p>
            <w:pPr>
              <w:spacing w:after="0" w:line="288" w:lineRule="auto"/>
            </w:pPr>
            <w:r/>
            <w:r>
              <w:rPr>
                <w:rFonts w:ascii="游明朝" w:hAnsi="游明朝" w:eastAsia="游明朝"/>
                <w:b w:val="0"/>
                <w:color w:val="23301F"/>
                <w:sz w:val="21"/>
              </w:rPr>
              <w:t>二つ目は、進路のような大切な選択は、宝くじのように運に任せるものではないからである。文理選択や大学選びは、将来の職業につながる。私は文理選択の時、先生や親と話し合ってから文系に決めた。その後「理系に進んだほうが良かったのかな」と感じたこともある。確かに、そのような時に今の選択がいつか役に立つと考えることは支えになるだろう。しかし、それは人と相談し、自分で考えて選んだからこそ言えること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79字</w:t>
            </w:r>
          </w:p>
        </w:tc>
        <w:tc>
          <w:tcPr>
            <w:tcW w:type="dxa" w:w="8277"/>
            <w:vAlign w:val="center"/>
          </w:tcPr>
          <w:p>
            <w:pPr>
              <w:spacing w:after="0" w:line="288" w:lineRule="auto"/>
            </w:pPr>
            <w:r/>
            <w:r>
              <w:rPr>
                <w:rFonts w:ascii="游明朝" w:hAnsi="游明朝" w:eastAsia="游明朝"/>
                <w:b w:val="0"/>
                <w:color w:val="23301F"/>
                <w:sz w:val="21"/>
              </w:rPr>
              <w:t>以上より、私は筆者の主張に反対である。私が教師になったら、子どもに宝くじ方式を教えるのではなく、人と相談しながら自分で考えて困難を乗り切れるよう、支援したい。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子どもが人と相談しながら困難を乗り切れるよう支援したい」という結論は、教員としての具体的な姿を示していて良い。教育相談など、大学で何を学んでそれを実現するのかを一言加えると、学ぶ意欲がさらに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反論する前に「筆者はそれを何に使う考えだと言っているか」を本文で確かめる</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「〜となるだろう」で止めず、「それの何が問題か」を一文足す</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「〜のだ」は1本に1〜2回まで。誤字（文系・理系）を見直す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