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Layout w:type="fixed"/>
        <w:tblLook w:firstColumn="1" w:firstRow="1" w:lastColumn="0" w:lastRow="0" w:noHBand="0" w:noVBand="1" w:val="04A0"/>
      </w:tblPr>
      <w:tblGrid>
        <w:gridCol w:w="6237"/>
        <w:gridCol w:w="3402"/>
      </w:tblGrid>
      <w:tr>
        <w:tc>
          <w:tcPr>
            <w:tcW w:type="dxa" w:w="6236"/>
            <w:shd w:val="clear" w:color="auto" w:fill="2C5F2D"/>
            <w:vAlign w:val="center"/>
          </w:tcPr>
          <w:p>
            <w:pPr>
              <w:spacing w:after="0" w:line="288" w:lineRule="auto"/>
            </w:pPr>
            <w:r/>
            <w:r>
              <w:rPr>
                <w:rFonts w:ascii="游ゴシック" w:hAnsi="游ゴシック" w:eastAsia="游ゴシック"/>
                <w:b/>
                <w:color w:val="FFFFFF"/>
                <w:sz w:val="40"/>
              </w:rPr>
              <w:t>小論文 添削シート</w:t>
            </w:r>
          </w:p>
        </w:tc>
        <w:tc>
          <w:tcPr>
            <w:tcW w:type="dxa" w:w="3402"/>
            <w:shd w:val="clear" w:color="auto" w:fill="2C5F2D"/>
            <w:vAlign w:val="center"/>
          </w:tcPr>
          <w:p>
            <w:pPr>
              <w:spacing w:after="0" w:line="288" w:lineRule="auto"/>
              <w:jc w:val="right"/>
            </w:pPr>
            <w:r/>
            <w:r>
              <w:rPr>
                <w:rFonts w:ascii="游ゴシック" w:hAnsi="游ゴシック" w:eastAsia="游ゴシック"/>
                <w:b/>
                <w:color w:val="FFFFFF"/>
                <w:sz w:val="21"/>
              </w:rPr>
              <w:t>2026-10-19</w:t>
            </w:r>
          </w:p>
          <w:p>
            <w:pPr>
              <w:spacing w:after="0" w:line="288" w:lineRule="auto"/>
            </w:pPr>
            <w:r>
              <w:rPr>
                <w:rFonts w:ascii="游ゴシック" w:hAnsi="游ゴシック" w:eastAsia="游ゴシック"/>
                <w:b/>
                <w:color w:val="FFFFFF"/>
                <w:sz w:val="21"/>
              </w:rPr>
              <w:t>石川陽太</w:t>
            </w:r>
          </w:p>
        </w:tc>
      </w:tr>
    </w:tbl>
    <w:p>
      <w:pPr>
        <w:spacing w:after="40" w:before="0" w:line="300" w:lineRule="auto"/>
      </w:pP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134"/>
        <w:gridCol w:w="8505"/>
      </w:tblGrid>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志望</w:t>
            </w:r>
          </w:p>
        </w:tc>
        <w:tc>
          <w:tcPr>
            <w:tcW w:type="dxa" w:w="8504"/>
            <w:vAlign w:val="center"/>
          </w:tcPr>
          <w:p>
            <w:pPr>
              <w:spacing w:after="0" w:line="288" w:lineRule="auto"/>
            </w:pPr>
            <w:r/>
            <w:r>
              <w:rPr>
                <w:rFonts w:ascii="游ゴシック" w:hAnsi="游ゴシック" w:eastAsia="游ゴシック"/>
                <w:b w:val="0"/>
                <w:color w:val="23301F"/>
                <w:sz w:val="20"/>
              </w:rPr>
              <w:t>国士舘大学 文学部 教育学科 総合型選抜 令和7年度 Ⅰ期（10月24日）</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題材</w:t>
            </w:r>
          </w:p>
        </w:tc>
        <w:tc>
          <w:tcPr>
            <w:tcW w:type="dxa" w:w="8504"/>
            <w:vAlign w:val="center"/>
          </w:tcPr>
          <w:p>
            <w:pPr>
              <w:spacing w:after="0" w:line="288" w:lineRule="auto"/>
            </w:pPr>
            <w:r/>
            <w:r>
              <w:rPr>
                <w:rFonts w:ascii="游ゴシック" w:hAnsi="游ゴシック" w:eastAsia="游ゴシック"/>
                <w:b w:val="0"/>
                <w:color w:val="23301F"/>
                <w:sz w:val="20"/>
              </w:rPr>
              <w:t>人生は宝くじ　／　ヨシタケシンスケ『思わず考えちゃう』</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設問</w:t>
            </w:r>
          </w:p>
        </w:tc>
        <w:tc>
          <w:tcPr>
            <w:tcW w:type="dxa" w:w="8504"/>
            <w:vAlign w:val="center"/>
          </w:tcPr>
          <w:p>
            <w:pPr>
              <w:spacing w:after="0" w:line="288" w:lineRule="auto"/>
            </w:pPr>
            <w:r/>
            <w:r>
              <w:rPr>
                <w:rFonts w:ascii="游ゴシック" w:hAnsi="游ゴシック" w:eastAsia="游ゴシック"/>
                <w:b w:val="0"/>
                <w:color w:val="23301F"/>
                <w:sz w:val="20"/>
              </w:rPr>
              <w:t>筆者の主張に対するあなたの意見を、具体的な経験や見聞きした事例をまじえて600字で述べなさい。</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字数</w:t>
            </w:r>
          </w:p>
        </w:tc>
        <w:tc>
          <w:tcPr>
            <w:tcW w:type="dxa" w:w="8504"/>
            <w:vAlign w:val="center"/>
          </w:tcPr>
          <w:p>
            <w:pPr>
              <w:spacing w:after="0" w:line="288" w:lineRule="auto"/>
            </w:pPr>
            <w:r/>
            <w:r>
              <w:rPr>
                <w:rFonts w:ascii="游ゴシック" w:hAnsi="游ゴシック" w:eastAsia="游ゴシック"/>
                <w:b w:val="0"/>
                <w:color w:val="23301F"/>
                <w:sz w:val="20"/>
              </w:rPr>
              <w:t>制限 600字以内　→　答案 584字（規定の範囲内）</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評価</w:t>
      </w:r>
    </w:p>
    <w:p>
      <w:pPr>
        <w:spacing w:after="80" w:before="0" w:line="300" w:lineRule="auto"/>
      </w:pPr>
      <w:r>
        <w:rPr>
          <w:rFonts w:ascii="游ゴシック" w:hAnsi="游ゴシック" w:eastAsia="游ゴシック"/>
          <w:b/>
          <w:color w:val="17321A"/>
          <w:sz w:val="24"/>
        </w:rPr>
        <w:t xml:space="preserve">総合 </w:t>
      </w:r>
      <w:r>
        <w:rPr>
          <w:rFonts w:ascii="游ゴシック" w:hAnsi="游ゴシック" w:eastAsia="游ゴシック"/>
          <w:b/>
          <w:color w:val="D9782D"/>
          <w:sz w:val="56"/>
        </w:rPr>
        <w:t>62</w:t>
      </w:r>
      <w:r>
        <w:rPr>
          <w:rFonts w:ascii="游ゴシック" w:hAnsi="游ゴシック" w:eastAsia="游ゴシック"/>
          <w:b/>
          <w:color w:val="17321A"/>
          <w:sz w:val="24"/>
        </w:rPr>
        <w:t xml:space="preserve"> / 100点</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2154"/>
        <w:gridCol w:w="1134"/>
        <w:gridCol w:w="6350"/>
      </w:tblGrid>
      <w:tr>
        <w:tc>
          <w:tcPr>
            <w:tcW w:type="dxa" w:w="2154"/>
            <w:shd w:val="clear" w:color="auto" w:fill="2C5F2D"/>
            <w:vAlign w:val="center"/>
          </w:tcPr>
          <w:p>
            <w:pPr>
              <w:spacing w:after="0" w:line="288" w:lineRule="auto"/>
              <w:jc w:val="center"/>
            </w:pPr>
            <w:r/>
            <w:r>
              <w:rPr>
                <w:rFonts w:ascii="游ゴシック" w:hAnsi="游ゴシック" w:eastAsia="游ゴシック"/>
                <w:b/>
                <w:color w:val="FFFFFF"/>
                <w:sz w:val="19"/>
              </w:rPr>
              <w:t>観点</w:t>
            </w:r>
          </w:p>
        </w:tc>
        <w:tc>
          <w:tcPr>
            <w:tcW w:type="dxa" w:w="1134"/>
            <w:shd w:val="clear" w:color="auto" w:fill="2C5F2D"/>
            <w:vAlign w:val="center"/>
          </w:tcPr>
          <w:p>
            <w:pPr>
              <w:spacing w:after="0" w:line="288" w:lineRule="auto"/>
              <w:jc w:val="center"/>
            </w:pPr>
            <w:r/>
            <w:r>
              <w:rPr>
                <w:rFonts w:ascii="游ゴシック" w:hAnsi="游ゴシック" w:eastAsia="游ゴシック"/>
                <w:b/>
                <w:color w:val="FFFFFF"/>
                <w:sz w:val="19"/>
              </w:rPr>
              <w:t>得点</w:t>
            </w:r>
          </w:p>
        </w:tc>
        <w:tc>
          <w:tcPr>
            <w:tcW w:type="dxa" w:w="6350"/>
            <w:shd w:val="clear" w:color="auto" w:fill="2C5F2D"/>
            <w:vAlign w:val="center"/>
          </w:tcPr>
          <w:p>
            <w:pPr>
              <w:spacing w:after="0" w:line="288" w:lineRule="auto"/>
              <w:jc w:val="center"/>
            </w:pPr>
            <w:r/>
            <w:r>
              <w:rPr>
                <w:rFonts w:ascii="游ゴシック" w:hAnsi="游ゴシック" w:eastAsia="游ゴシック"/>
                <w:b/>
                <w:color w:val="FFFFFF"/>
                <w:sz w:val="19"/>
              </w:rPr>
              <w:t>コメント</w:t>
            </w:r>
          </w:p>
        </w:tc>
      </w:tr>
      <w:tr>
        <w:tc>
          <w:tcPr>
            <w:tcW w:type="dxa" w:w="2154"/>
            <w:vAlign w:val="center"/>
          </w:tcPr>
          <w:p>
            <w:pPr>
              <w:spacing w:after="0" w:line="288" w:lineRule="auto"/>
            </w:pPr>
            <w:r/>
            <w:r>
              <w:rPr>
                <w:rFonts w:ascii="游ゴシック" w:hAnsi="游ゴシック" w:eastAsia="游ゴシック"/>
                <w:b/>
                <w:color w:val="17321A"/>
                <w:sz w:val="19"/>
              </w:rPr>
              <w:t>設問への応答</w:t>
            </w:r>
          </w:p>
        </w:tc>
        <w:tc>
          <w:tcPr>
            <w:tcW w:type="dxa" w:w="1134"/>
            <w:vAlign w:val="center"/>
          </w:tcPr>
          <w:p>
            <w:pPr>
              <w:spacing w:after="0" w:line="288" w:lineRule="auto"/>
              <w:jc w:val="center"/>
            </w:pPr>
            <w:r/>
            <w:r>
              <w:rPr>
                <w:rFonts w:ascii="游ゴシック" w:hAnsi="游ゴシック" w:eastAsia="游ゴシック"/>
                <w:b/>
                <w:color w:val="D9782D"/>
                <w:sz w:val="22"/>
              </w:rPr>
              <w:t>11 / 20</w:t>
            </w:r>
          </w:p>
        </w:tc>
        <w:tc>
          <w:tcPr>
            <w:tcW w:type="dxa" w:w="6350"/>
            <w:vAlign w:val="center"/>
          </w:tcPr>
          <w:p>
            <w:pPr>
              <w:spacing w:after="0" w:line="288" w:lineRule="auto"/>
            </w:pPr>
            <w:r/>
            <w:r>
              <w:rPr>
                <w:rFonts w:ascii="游ゴシック" w:hAnsi="游ゴシック" w:eastAsia="游ゴシック"/>
                <w:b w:val="0"/>
                <w:color w:val="23301F"/>
                <w:sz w:val="19"/>
              </w:rPr>
              <w:t>賛成の立場と経験は示せている。しかし筆者の「宝くじ方式」は、つらい経験も「いつか何かに化けるかもしれない」と考えるものの見方のたとえである。答案は「毎日がドキドキして楽しくなる」「宝くじを買ってリフレッシュ」と、本物の宝くじの楽しさとして読んでいる部分があり、筆者の主張からずれている。</w:t>
            </w:r>
          </w:p>
        </w:tc>
      </w:tr>
      <w:tr>
        <w:tc>
          <w:tcPr>
            <w:tcW w:type="dxa" w:w="2154"/>
            <w:vAlign w:val="center"/>
          </w:tcPr>
          <w:p>
            <w:pPr>
              <w:spacing w:after="0" w:line="288" w:lineRule="auto"/>
            </w:pPr>
            <w:r/>
            <w:r>
              <w:rPr>
                <w:rFonts w:ascii="游ゴシック" w:hAnsi="游ゴシック" w:eastAsia="游ゴシック"/>
                <w:b/>
                <w:color w:val="17321A"/>
                <w:sz w:val="19"/>
              </w:rPr>
              <w:t>構成・論理</w:t>
            </w:r>
          </w:p>
        </w:tc>
        <w:tc>
          <w:tcPr>
            <w:tcW w:type="dxa" w:w="1134"/>
            <w:vAlign w:val="center"/>
          </w:tcPr>
          <w:p>
            <w:pPr>
              <w:spacing w:after="0" w:line="288" w:lineRule="auto"/>
              <w:jc w:val="center"/>
            </w:pPr>
            <w:r/>
            <w:r>
              <w:rPr>
                <w:rFonts w:ascii="游ゴシック" w:hAnsi="游ゴシック" w:eastAsia="游ゴシック"/>
                <w:b/>
                <w:color w:val="D9782D"/>
                <w:sz w:val="22"/>
              </w:rPr>
              <w:t>14 / 20</w:t>
            </w:r>
          </w:p>
        </w:tc>
        <w:tc>
          <w:tcPr>
            <w:tcW w:type="dxa" w:w="6350"/>
            <w:vAlign w:val="center"/>
          </w:tcPr>
          <w:p>
            <w:pPr>
              <w:spacing w:after="0" w:line="288" w:lineRule="auto"/>
            </w:pPr>
            <w:r/>
            <w:r>
              <w:rPr>
                <w:rFonts w:ascii="游ゴシック" w:hAnsi="游ゴシック" w:eastAsia="游ゴシック"/>
                <w:b w:val="0"/>
                <w:color w:val="23301F"/>
                <w:sz w:val="19"/>
              </w:rPr>
              <w:t>要約→主張→理由2つ→結論の型は整っている。理由②の書き出し「教員は長時間労働とよく耳にする」が唐突で、筆者の主張とのつながりが見えない。</w:t>
            </w:r>
          </w:p>
        </w:tc>
      </w:tr>
      <w:tr>
        <w:tc>
          <w:tcPr>
            <w:tcW w:type="dxa" w:w="2154"/>
            <w:vAlign w:val="center"/>
          </w:tcPr>
          <w:p>
            <w:pPr>
              <w:spacing w:after="0" w:line="288" w:lineRule="auto"/>
            </w:pPr>
            <w:r/>
            <w:r>
              <w:rPr>
                <w:rFonts w:ascii="游ゴシック" w:hAnsi="游ゴシック" w:eastAsia="游ゴシック"/>
                <w:b/>
                <w:color w:val="17321A"/>
                <w:sz w:val="19"/>
              </w:rPr>
              <w:t>根拠・具体性</w:t>
            </w:r>
          </w:p>
        </w:tc>
        <w:tc>
          <w:tcPr>
            <w:tcW w:type="dxa" w:w="1134"/>
            <w:vAlign w:val="center"/>
          </w:tcPr>
          <w:p>
            <w:pPr>
              <w:spacing w:after="0" w:line="288" w:lineRule="auto"/>
              <w:jc w:val="center"/>
            </w:pPr>
            <w:r/>
            <w:r>
              <w:rPr>
                <w:rFonts w:ascii="游ゴシック" w:hAnsi="游ゴシック" w:eastAsia="游ゴシック"/>
                <w:b/>
                <w:color w:val="D9782D"/>
                <w:sz w:val="22"/>
              </w:rPr>
              <w:t>12 / 20</w:t>
            </w:r>
          </w:p>
        </w:tc>
        <w:tc>
          <w:tcPr>
            <w:tcW w:type="dxa" w:w="6350"/>
            <w:vAlign w:val="center"/>
          </w:tcPr>
          <w:p>
            <w:pPr>
              <w:spacing w:after="0" w:line="288" w:lineRule="auto"/>
            </w:pPr>
            <w:r/>
            <w:r>
              <w:rPr>
                <w:rFonts w:ascii="游ゴシック" w:hAnsi="游ゴシック" w:eastAsia="游ゴシック"/>
                <w:b w:val="0"/>
                <w:color w:val="23301F"/>
                <w:sz w:val="19"/>
              </w:rPr>
              <w:t>ライブの抽選を待つ時間、祖母の話という二つの例を挙げられている。ライブの例は、筆者の「くじを持っていること自体が大事」という部分とつなげれば良い根拠になる。</w:t>
            </w:r>
          </w:p>
        </w:tc>
      </w:tr>
      <w:tr>
        <w:tc>
          <w:tcPr>
            <w:tcW w:type="dxa" w:w="2154"/>
            <w:vAlign w:val="center"/>
          </w:tcPr>
          <w:p>
            <w:pPr>
              <w:spacing w:after="0" w:line="288" w:lineRule="auto"/>
            </w:pPr>
            <w:r/>
            <w:r>
              <w:rPr>
                <w:rFonts w:ascii="游ゴシック" w:hAnsi="游ゴシック" w:eastAsia="游ゴシック"/>
                <w:b/>
                <w:color w:val="17321A"/>
                <w:sz w:val="19"/>
              </w:rPr>
              <w:t>学部・アドミッションポリシーとの適合</w:t>
            </w:r>
          </w:p>
        </w:tc>
        <w:tc>
          <w:tcPr>
            <w:tcW w:type="dxa" w:w="1134"/>
            <w:vAlign w:val="center"/>
          </w:tcPr>
          <w:p>
            <w:pPr>
              <w:spacing w:after="0" w:line="288" w:lineRule="auto"/>
              <w:jc w:val="center"/>
            </w:pPr>
            <w:r/>
            <w:r>
              <w:rPr>
                <w:rFonts w:ascii="游ゴシック" w:hAnsi="游ゴシック" w:eastAsia="游ゴシック"/>
                <w:b/>
                <w:color w:val="D9782D"/>
                <w:sz w:val="22"/>
              </w:rPr>
              <w:t>15 / 20</w:t>
            </w:r>
          </w:p>
        </w:tc>
        <w:tc>
          <w:tcPr>
            <w:tcW w:type="dxa" w:w="6350"/>
            <w:vAlign w:val="center"/>
          </w:tcPr>
          <w:p>
            <w:pPr>
              <w:spacing w:after="0" w:line="288" w:lineRule="auto"/>
            </w:pPr>
            <w:r/>
            <w:r>
              <w:rPr>
                <w:rFonts w:ascii="游ゴシック" w:hAnsi="游ゴシック" w:eastAsia="游ゴシック"/>
                <w:b w:val="0"/>
                <w:color w:val="23301F"/>
                <w:sz w:val="19"/>
              </w:rPr>
              <w:t>教員として困っている子どもを支えたい、大学で教育相談を学びたい、と具体的な学びの目標まで書けている点が良い。</w:t>
            </w:r>
          </w:p>
        </w:tc>
      </w:tr>
      <w:tr>
        <w:tc>
          <w:tcPr>
            <w:tcW w:type="dxa" w:w="2154"/>
            <w:vAlign w:val="center"/>
          </w:tcPr>
          <w:p>
            <w:pPr>
              <w:spacing w:after="0" w:line="288" w:lineRule="auto"/>
            </w:pPr>
            <w:r/>
            <w:r>
              <w:rPr>
                <w:rFonts w:ascii="游ゴシック" w:hAnsi="游ゴシック" w:eastAsia="游ゴシック"/>
                <w:b/>
                <w:color w:val="17321A"/>
                <w:sz w:val="19"/>
              </w:rPr>
              <w:t>表現・表記</w:t>
            </w:r>
          </w:p>
        </w:tc>
        <w:tc>
          <w:tcPr>
            <w:tcW w:type="dxa" w:w="1134"/>
            <w:vAlign w:val="center"/>
          </w:tcPr>
          <w:p>
            <w:pPr>
              <w:spacing w:after="0" w:line="288" w:lineRule="auto"/>
              <w:jc w:val="center"/>
            </w:pPr>
            <w:r/>
            <w:r>
              <w:rPr>
                <w:rFonts w:ascii="游ゴシック" w:hAnsi="游ゴシック" w:eastAsia="游ゴシック"/>
                <w:b/>
                <w:color w:val="D9782D"/>
                <w:sz w:val="22"/>
              </w:rPr>
              <w:t>10 / 20</w:t>
            </w:r>
          </w:p>
        </w:tc>
        <w:tc>
          <w:tcPr>
            <w:tcW w:type="dxa" w:w="6350"/>
            <w:vAlign w:val="center"/>
          </w:tcPr>
          <w:p>
            <w:pPr>
              <w:spacing w:after="0" w:line="288" w:lineRule="auto"/>
            </w:pPr>
            <w:r/>
            <w:r>
              <w:rPr>
                <w:rFonts w:ascii="游ゴシック" w:hAnsi="游ゴシック" w:eastAsia="游ゴシック"/>
                <w:b w:val="0"/>
                <w:color w:val="23301F"/>
                <w:sz w:val="19"/>
              </w:rPr>
              <w:t>書き出しの「筆者は、本当につらかった思い出は多分十年、二十年かかる。」は主語と述語が合っていない。「宝くじ方式をする」「ドキドキなどの感情」「〜と考えるため、〜乗り切れるだろう」など、ねじれや話し言葉がある。字数は584字。</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総評</w:t>
      </w:r>
    </w:p>
    <w:p>
      <w:pPr>
        <w:spacing w:after="80" w:before="0" w:line="300" w:lineRule="auto"/>
      </w:pPr>
      <w:r>
        <w:rPr>
          <w:rFonts w:ascii="游ゴシック" w:hAnsi="游ゴシック" w:eastAsia="游ゴシック"/>
          <w:b w:val="0"/>
          <w:color w:val="23301F"/>
          <w:sz w:val="21"/>
        </w:rPr>
        <w:t>【前提】設問文と字数（600字）は大学公式の過去問で確認した。字数を十分に使い、二つの例と、教育相談を学びたいという具体的な目標で締めた点は良い。最大の課題は、筆者の「宝くじ方式」の読み取り。筆者が言いたいのは「つらい経験も、いつか何かに化けるかもしれないと考えれば抱えていられる」という、ものの見方である。答案は本物の宝くじを買う楽しさの話になっている部分がある。課題文の比喩（たとえ）が何を表しているかをつかんでから意見を書けば、同じ例を使っても説得力のある答案にな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良かったところ</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賛成の立場と「理由は二つ」を早い段階で示している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ライブの抽選、祖母の話と、経験・見聞きした例を二つ入れられている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字数を584字まで使い切っている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結論で「教員として困っている子を支えたい」「教育相談を学びたい」と、大学での学びまで具体的に書けている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直すと伸びるところ</w:t>
      </w:r>
    </w:p>
    <w:p>
      <w:pPr>
        <w:spacing w:after="20" w:before="60" w:line="300" w:lineRule="auto"/>
      </w:pPr>
      <w:r>
        <w:rPr>
          <w:rFonts w:ascii="游ゴシック" w:hAnsi="游ゴシック" w:eastAsia="游ゴシック"/>
          <w:b/>
          <w:color w:val="17321A"/>
          <w:sz w:val="21"/>
        </w:rPr>
        <w:t>1. 「宝くじ方式」が何のたとえかをつかむ</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「宝くじ方式をすることにより、毎日が楽しくなるからである。」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筆者の宝くじは比喩で、「つらい経験も、いつか何かに化けるかもしれない」と考える見方のこと。本物の宝くじで毎日が楽しくなる、という話にしない。要約で「つらい経験もいつか何かに化けるかもしれないと考えれば、抱えていられる」と書き、それに賛成する形にする。</w:t>
      </w:r>
    </w:p>
    <w:p>
      <w:pPr>
        <w:spacing w:after="20" w:before="60" w:line="300" w:lineRule="auto"/>
      </w:pPr>
      <w:r>
        <w:rPr>
          <w:rFonts w:ascii="游ゴシック" w:hAnsi="游ゴシック" w:eastAsia="游ゴシック"/>
          <w:b/>
          <w:color w:val="17321A"/>
          <w:sz w:val="21"/>
        </w:rPr>
        <w:t>2. 要約の一文目を、主語と述語がそろう形にする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「筆者は、本当につらかった思い出は多分十年、二十年かかる。」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「筆者は〜かかる」では文が成り立たない。「筆者は、自分の身に起こることをすべて『宝くじを買っている』と考えればよいと述べている」と書き出す。</w:t>
      </w:r>
    </w:p>
    <w:p>
      <w:pPr>
        <w:spacing w:after="20" w:before="60" w:line="300" w:lineRule="auto"/>
      </w:pPr>
      <w:r>
        <w:rPr>
          <w:rFonts w:ascii="游ゴシック" w:hAnsi="游ゴシック" w:eastAsia="游ゴシック"/>
          <w:b/>
          <w:color w:val="17321A"/>
          <w:sz w:val="21"/>
        </w:rPr>
        <w:t>3. ライブの例を、筆者の言葉とつなげる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「私は、その時間がドキドキ、ハラハラして楽しいのだ。」</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筆者は「くじを持っていること自体が大事で、当たるかどうかは大事じゃない」と言っている。「結果が分からない時間そのものが自分を前向きにした」と書けば、筆者の主張を支える根拠になる。</w:t>
      </w:r>
    </w:p>
    <w:p>
      <w:pPr>
        <w:spacing w:after="20" w:before="60" w:line="300" w:lineRule="auto"/>
      </w:pPr>
      <w:r>
        <w:rPr>
          <w:rFonts w:ascii="游ゴシック" w:hAnsi="游ゴシック" w:eastAsia="游ゴシック"/>
          <w:b/>
          <w:color w:val="17321A"/>
          <w:sz w:val="21"/>
        </w:rPr>
        <w:t>4. 理由②の書き出しを直す</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「二つ目は、教員は長時間労働とよく耳にする。」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急に教員の働き方の話になり、主張とつながらない。「二つ目は、つらい時期を乗り越える支えになるからである」と理由を先に書き、祖母の話をその例にする。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あなたの答案（584字）</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序論</w:t>
            </w:r>
          </w:p>
          <w:p>
            <w:pPr>
              <w:spacing w:after="0" w:line="288" w:lineRule="auto"/>
            </w:pPr>
            <w:r>
              <w:rPr>
                <w:rFonts w:ascii="游ゴシック" w:hAnsi="游ゴシック" w:eastAsia="游ゴシック"/>
                <w:b/>
                <w:color w:val="2C5F2D"/>
                <w:sz w:val="19"/>
              </w:rPr>
              <w:t>95字</w:t>
            </w:r>
          </w:p>
        </w:tc>
        <w:tc>
          <w:tcPr>
            <w:tcW w:type="dxa" w:w="8277"/>
            <w:vAlign w:val="center"/>
          </w:tcPr>
          <w:p>
            <w:pPr>
              <w:spacing w:after="0" w:line="288" w:lineRule="auto"/>
            </w:pPr>
            <w:r/>
            <w:r>
              <w:rPr>
                <w:rFonts w:ascii="游明朝" w:hAnsi="游明朝" w:eastAsia="游明朝"/>
                <w:b w:val="0"/>
                <w:color w:val="23301F"/>
                <w:sz w:val="21"/>
              </w:rPr>
              <w:t>筆者は、本当につらかった思い出は多分十年、二十年かかる。しかし、嫌なことをどうしようと思ったとき、この宝くじ方式を導入するとなんとか乗り切れるのではないかという現実のとらえ方を主張してい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主張</w:t>
            </w:r>
          </w:p>
          <w:p>
            <w:pPr>
              <w:spacing w:after="0" w:line="288" w:lineRule="auto"/>
            </w:pPr>
            <w:r>
              <w:rPr>
                <w:rFonts w:ascii="游ゴシック" w:hAnsi="游ゴシック" w:eastAsia="游ゴシック"/>
                <w:b/>
                <w:color w:val="2C5F2D"/>
                <w:sz w:val="19"/>
              </w:rPr>
              <w:t>50字</w:t>
            </w:r>
          </w:p>
        </w:tc>
        <w:tc>
          <w:tcPr>
            <w:tcW w:type="dxa" w:w="8277"/>
            <w:vAlign w:val="center"/>
          </w:tcPr>
          <w:p>
            <w:pPr>
              <w:spacing w:after="0" w:line="288" w:lineRule="auto"/>
            </w:pPr>
            <w:r/>
            <w:r>
              <w:rPr>
                <w:rFonts w:ascii="游明朝" w:hAnsi="游明朝" w:eastAsia="游明朝"/>
                <w:b w:val="0"/>
                <w:color w:val="23301F"/>
                <w:sz w:val="21"/>
              </w:rPr>
              <w:t>私もこの宝くじ方式を導入すると嫌なことが乗り切れるのではないかと考える。そう考える理由は、二つある。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本論①</w:t>
            </w:r>
          </w:p>
          <w:p>
            <w:pPr>
              <w:spacing w:after="0" w:line="288" w:lineRule="auto"/>
            </w:pPr>
            <w:r>
              <w:rPr>
                <w:rFonts w:ascii="游ゴシック" w:hAnsi="游ゴシック" w:eastAsia="游ゴシック"/>
                <w:b/>
                <w:color w:val="2C5F2D"/>
                <w:sz w:val="19"/>
              </w:rPr>
              <w:t>164字</w:t>
            </w:r>
          </w:p>
        </w:tc>
        <w:tc>
          <w:tcPr>
            <w:tcW w:type="dxa" w:w="8277"/>
            <w:vAlign w:val="center"/>
          </w:tcPr>
          <w:p>
            <w:pPr>
              <w:spacing w:after="0" w:line="288" w:lineRule="auto"/>
            </w:pPr>
            <w:r/>
            <w:r>
              <w:rPr>
                <w:rFonts w:ascii="游明朝" w:hAnsi="游明朝" w:eastAsia="游明朝"/>
                <w:b w:val="0"/>
                <w:color w:val="23301F"/>
                <w:sz w:val="21"/>
              </w:rPr>
              <w:t>一つ目は、宝くじ方式をすることにより、毎日が楽しくなるからである。宝くじという夢がなければ、何もない日常である。だが、それがあると日々「当たっているかな」とドキドキなどの感情が生まれ、前向きになると考える。例えば、アーティストのライブに行くための抽選から結果発表まで時間がある。私は、その時間がドキドキ、ハラハラして楽しいのだ。</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本論②</w:t>
            </w:r>
          </w:p>
          <w:p>
            <w:pPr>
              <w:spacing w:after="0" w:line="288" w:lineRule="auto"/>
            </w:pPr>
            <w:r>
              <w:rPr>
                <w:rFonts w:ascii="游ゴシック" w:hAnsi="游ゴシック" w:eastAsia="游ゴシック"/>
                <w:b/>
                <w:color w:val="2C5F2D"/>
                <w:sz w:val="19"/>
              </w:rPr>
              <w:t>125字</w:t>
            </w:r>
          </w:p>
        </w:tc>
        <w:tc>
          <w:tcPr>
            <w:tcW w:type="dxa" w:w="8277"/>
            <w:vAlign w:val="center"/>
          </w:tcPr>
          <w:p>
            <w:pPr>
              <w:spacing w:after="0" w:line="288" w:lineRule="auto"/>
            </w:pPr>
            <w:r/>
            <w:r>
              <w:rPr>
                <w:rFonts w:ascii="游明朝" w:hAnsi="游明朝" w:eastAsia="游明朝"/>
                <w:b w:val="0"/>
                <w:color w:val="23301F"/>
                <w:sz w:val="21"/>
              </w:rPr>
              <w:t>二つ目は、教員は長時間労働とよく耳にする。だから、日々の疲れが溜まるだろう。そのような時に、宝くじ方式を用いることでリフレッシュの効果が期待できると考えるからである。祖母が昔、仕事で大変な時に宝くじを買い「リフレッシュをしていた」と聞いたことがあ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150字</w:t>
            </w:r>
          </w:p>
        </w:tc>
        <w:tc>
          <w:tcPr>
            <w:tcW w:type="dxa" w:w="8277"/>
            <w:vAlign w:val="center"/>
          </w:tcPr>
          <w:p>
            <w:pPr>
              <w:spacing w:after="0" w:line="288" w:lineRule="auto"/>
            </w:pPr>
            <w:r/>
            <w:r>
              <w:rPr>
                <w:rFonts w:ascii="游明朝" w:hAnsi="游明朝" w:eastAsia="游明朝"/>
                <w:b w:val="0"/>
                <w:color w:val="23301F"/>
                <w:sz w:val="21"/>
              </w:rPr>
              <w:t>以上より、私はこの宝くじ方式を導入すると毎日が楽しくなることやリフレッシュの効果があると考えるため、嫌なことも乗り切れるだろう。私は、将来教員になり、何か困ったことや嫌なことがある子どもがクラスにいたら、宝くじ方式を教えてあげたい。また、大学ではそのような子と関わる際に大切な教育相談を深く学び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表記・表現の直し</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3402"/>
        <w:gridCol w:w="3402"/>
        <w:gridCol w:w="2835"/>
      </w:tblGrid>
      <w:tr>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答案</w:t>
            </w:r>
          </w:p>
        </w:tc>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直し</w:t>
            </w:r>
          </w:p>
        </w:tc>
        <w:tc>
          <w:tcPr>
            <w:tcW w:type="dxa" w:w="2835"/>
            <w:shd w:val="clear" w:color="auto" w:fill="2C5F2D"/>
            <w:vAlign w:val="center"/>
          </w:tcPr>
          <w:p>
            <w:pPr>
              <w:spacing w:after="0" w:line="288" w:lineRule="auto"/>
              <w:jc w:val="center"/>
            </w:pPr>
            <w:r/>
            <w:r>
              <w:rPr>
                <w:rFonts w:ascii="游ゴシック" w:hAnsi="游ゴシック" w:eastAsia="游ゴシック"/>
                <w:b/>
                <w:color w:val="FFFFFF"/>
                <w:sz w:val="19"/>
              </w:rPr>
              <w:t>理由</w:t>
            </w:r>
          </w:p>
        </w:tc>
      </w:tr>
      <w:tr>
        <w:tc>
          <w:tcPr>
            <w:tcW w:type="dxa" w:w="3402"/>
            <w:vAlign w:val="center"/>
          </w:tcPr>
          <w:p>
            <w:pPr>
              <w:spacing w:after="0" w:line="288" w:lineRule="auto"/>
            </w:pPr>
            <w:r/>
            <w:r>
              <w:rPr>
                <w:rFonts w:ascii="游明朝" w:hAnsi="游明朝" w:eastAsia="游明朝"/>
                <w:b w:val="0"/>
                <w:color w:val="23301F"/>
                <w:sz w:val="19"/>
              </w:rPr>
              <w:t>筆者は、本当につらかった思い出は多分十年、二十年かかる。</w:t>
            </w:r>
          </w:p>
        </w:tc>
        <w:tc>
          <w:tcPr>
            <w:tcW w:type="dxa" w:w="3402"/>
            <w:vAlign w:val="center"/>
          </w:tcPr>
          <w:p>
            <w:pPr>
              <w:spacing w:after="0" w:line="288" w:lineRule="auto"/>
            </w:pPr>
            <w:r/>
            <w:r>
              <w:rPr>
                <w:rFonts w:ascii="游明朝" w:hAnsi="游明朝" w:eastAsia="游明朝"/>
                <w:b/>
                <w:color w:val="2C5F2D"/>
                <w:sz w:val="19"/>
              </w:rPr>
              <w:t>筆者は、自分の身に起こることをすべて「宝くじを買っている」と考えればよいと述べている。</w:t>
            </w:r>
          </w:p>
        </w:tc>
        <w:tc>
          <w:tcPr>
            <w:tcW w:type="dxa" w:w="2835"/>
            <w:vAlign w:val="center"/>
          </w:tcPr>
          <w:p>
            <w:pPr>
              <w:spacing w:after="0" w:line="288" w:lineRule="auto"/>
            </w:pPr>
            <w:r/>
            <w:r>
              <w:rPr>
                <w:rFonts w:ascii="游ゴシック" w:hAnsi="游ゴシック" w:eastAsia="游ゴシック"/>
                <w:b w:val="0"/>
                <w:color w:val="23301F"/>
                <w:sz w:val="18"/>
              </w:rPr>
              <w:t>主語と述語が合っていない</w:t>
            </w:r>
          </w:p>
        </w:tc>
      </w:tr>
      <w:tr>
        <w:tc>
          <w:tcPr>
            <w:tcW w:type="dxa" w:w="3402"/>
            <w:vAlign w:val="center"/>
          </w:tcPr>
          <w:p>
            <w:pPr>
              <w:spacing w:after="0" w:line="288" w:lineRule="auto"/>
            </w:pPr>
            <w:r/>
            <w:r>
              <w:rPr>
                <w:rFonts w:ascii="游明朝" w:hAnsi="游明朝" w:eastAsia="游明朝"/>
                <w:b w:val="0"/>
                <w:color w:val="23301F"/>
                <w:sz w:val="19"/>
              </w:rPr>
              <w:t>宝くじ方式をすることにより</w:t>
            </w:r>
          </w:p>
        </w:tc>
        <w:tc>
          <w:tcPr>
            <w:tcW w:type="dxa" w:w="3402"/>
            <w:vAlign w:val="center"/>
          </w:tcPr>
          <w:p>
            <w:pPr>
              <w:spacing w:after="0" w:line="288" w:lineRule="auto"/>
            </w:pPr>
            <w:r/>
            <w:r>
              <w:rPr>
                <w:rFonts w:ascii="游明朝" w:hAnsi="游明朝" w:eastAsia="游明朝"/>
                <w:b/>
                <w:color w:val="2C5F2D"/>
                <w:sz w:val="19"/>
              </w:rPr>
              <w:t>宝くじ方式で考えることにより</w:t>
            </w:r>
          </w:p>
        </w:tc>
        <w:tc>
          <w:tcPr>
            <w:tcW w:type="dxa" w:w="2835"/>
            <w:vAlign w:val="center"/>
          </w:tcPr>
          <w:p>
            <w:pPr>
              <w:spacing w:after="0" w:line="288" w:lineRule="auto"/>
            </w:pPr>
            <w:r/>
            <w:r>
              <w:rPr>
                <w:rFonts w:ascii="游ゴシック" w:hAnsi="游ゴシック" w:eastAsia="游ゴシック"/>
                <w:b w:val="0"/>
                <w:color w:val="23301F"/>
                <w:sz w:val="18"/>
              </w:rPr>
              <w:t>「方式をする」は不自然</w:t>
            </w:r>
          </w:p>
        </w:tc>
      </w:tr>
      <w:tr>
        <w:tc>
          <w:tcPr>
            <w:tcW w:type="dxa" w:w="3402"/>
            <w:vAlign w:val="center"/>
          </w:tcPr>
          <w:p>
            <w:pPr>
              <w:spacing w:after="0" w:line="288" w:lineRule="auto"/>
            </w:pPr>
            <w:r/>
            <w:r>
              <w:rPr>
                <w:rFonts w:ascii="游明朝" w:hAnsi="游明朝" w:eastAsia="游明朝"/>
                <w:b w:val="0"/>
                <w:color w:val="23301F"/>
                <w:sz w:val="19"/>
              </w:rPr>
              <w:t>ドキドキなどの感情が生まれ</w:t>
            </w:r>
          </w:p>
        </w:tc>
        <w:tc>
          <w:tcPr>
            <w:tcW w:type="dxa" w:w="3402"/>
            <w:vAlign w:val="center"/>
          </w:tcPr>
          <w:p>
            <w:pPr>
              <w:spacing w:after="0" w:line="288" w:lineRule="auto"/>
            </w:pPr>
            <w:r/>
            <w:r>
              <w:rPr>
                <w:rFonts w:ascii="游明朝" w:hAnsi="游明朝" w:eastAsia="游明朝"/>
                <w:b/>
                <w:color w:val="2C5F2D"/>
                <w:sz w:val="19"/>
              </w:rPr>
              <w:t>期待する気持ちが生まれ</w:t>
            </w:r>
          </w:p>
        </w:tc>
        <w:tc>
          <w:tcPr>
            <w:tcW w:type="dxa" w:w="2835"/>
            <w:vAlign w:val="center"/>
          </w:tcPr>
          <w:p>
            <w:pPr>
              <w:spacing w:after="0" w:line="288" w:lineRule="auto"/>
            </w:pPr>
            <w:r/>
            <w:r>
              <w:rPr>
                <w:rFonts w:ascii="游ゴシック" w:hAnsi="游ゴシック" w:eastAsia="游ゴシック"/>
                <w:b w:val="0"/>
                <w:color w:val="23301F"/>
                <w:sz w:val="18"/>
              </w:rPr>
              <w:t>擬音語は書き言葉に</w:t>
            </w:r>
          </w:p>
        </w:tc>
      </w:tr>
      <w:tr>
        <w:tc>
          <w:tcPr>
            <w:tcW w:type="dxa" w:w="3402"/>
            <w:vAlign w:val="center"/>
          </w:tcPr>
          <w:p>
            <w:pPr>
              <w:spacing w:after="0" w:line="288" w:lineRule="auto"/>
            </w:pPr>
            <w:r/>
            <w:r>
              <w:rPr>
                <w:rFonts w:ascii="游明朝" w:hAnsi="游明朝" w:eastAsia="游明朝"/>
                <w:b w:val="0"/>
                <w:color w:val="23301F"/>
                <w:sz w:val="19"/>
              </w:rPr>
              <w:t>二つ目は、教員は長時間労働とよく耳にする。</w:t>
            </w:r>
          </w:p>
        </w:tc>
        <w:tc>
          <w:tcPr>
            <w:tcW w:type="dxa" w:w="3402"/>
            <w:vAlign w:val="center"/>
          </w:tcPr>
          <w:p>
            <w:pPr>
              <w:spacing w:after="0" w:line="288" w:lineRule="auto"/>
            </w:pPr>
            <w:r/>
            <w:r>
              <w:rPr>
                <w:rFonts w:ascii="游明朝" w:hAnsi="游明朝" w:eastAsia="游明朝"/>
                <w:b/>
                <w:color w:val="2C5F2D"/>
                <w:sz w:val="19"/>
              </w:rPr>
              <w:t>二つ目は、つらい時期を乗り越える支えになるからである。</w:t>
            </w:r>
          </w:p>
        </w:tc>
        <w:tc>
          <w:tcPr>
            <w:tcW w:type="dxa" w:w="2835"/>
            <w:vAlign w:val="center"/>
          </w:tcPr>
          <w:p>
            <w:pPr>
              <w:spacing w:after="0" w:line="288" w:lineRule="auto"/>
            </w:pPr>
            <w:r/>
            <w:r>
              <w:rPr>
                <w:rFonts w:ascii="游ゴシック" w:hAnsi="游ゴシック" w:eastAsia="游ゴシック"/>
                <w:b w:val="0"/>
                <w:color w:val="23301F"/>
                <w:sz w:val="18"/>
              </w:rPr>
              <w:t>理由の文の形になっていない</w:t>
            </w:r>
          </w:p>
        </w:tc>
      </w:tr>
      <w:tr>
        <w:tc>
          <w:tcPr>
            <w:tcW w:type="dxa" w:w="3402"/>
            <w:vAlign w:val="center"/>
          </w:tcPr>
          <w:p>
            <w:pPr>
              <w:spacing w:after="0" w:line="288" w:lineRule="auto"/>
            </w:pPr>
            <w:r/>
            <w:r>
              <w:rPr>
                <w:rFonts w:ascii="游明朝" w:hAnsi="游明朝" w:eastAsia="游明朝"/>
                <w:b w:val="0"/>
                <w:color w:val="23301F"/>
                <w:sz w:val="19"/>
              </w:rPr>
              <w:t>日々の疲れが溜まるだろう。</w:t>
            </w:r>
          </w:p>
        </w:tc>
        <w:tc>
          <w:tcPr>
            <w:tcW w:type="dxa" w:w="3402"/>
            <w:vAlign w:val="center"/>
          </w:tcPr>
          <w:p>
            <w:pPr>
              <w:spacing w:after="0" w:line="288" w:lineRule="auto"/>
            </w:pPr>
            <w:r/>
            <w:r>
              <w:rPr>
                <w:rFonts w:ascii="游明朝" w:hAnsi="游明朝" w:eastAsia="游明朝"/>
                <w:b/>
                <w:color w:val="2C5F2D"/>
                <w:sz w:val="19"/>
              </w:rPr>
              <w:t>日々の疲れがたまるだろう。</w:t>
            </w:r>
          </w:p>
        </w:tc>
        <w:tc>
          <w:tcPr>
            <w:tcW w:type="dxa" w:w="2835"/>
            <w:vAlign w:val="center"/>
          </w:tcPr>
          <w:p>
            <w:pPr>
              <w:spacing w:after="0" w:line="288" w:lineRule="auto"/>
            </w:pPr>
            <w:r/>
            <w:r>
              <w:rPr>
                <w:rFonts w:ascii="游ゴシック" w:hAnsi="游ゴシック" w:eastAsia="游ゴシック"/>
                <w:b w:val="0"/>
                <w:color w:val="23301F"/>
                <w:sz w:val="18"/>
              </w:rPr>
              <w:t>「溜まる」はひらがなが一般的</w:t>
            </w:r>
          </w:p>
        </w:tc>
      </w:tr>
      <w:tr>
        <w:tc>
          <w:tcPr>
            <w:tcW w:type="dxa" w:w="3402"/>
            <w:vAlign w:val="center"/>
          </w:tcPr>
          <w:p>
            <w:pPr>
              <w:spacing w:after="0" w:line="288" w:lineRule="auto"/>
            </w:pPr>
            <w:r/>
            <w:r>
              <w:rPr>
                <w:rFonts w:ascii="游明朝" w:hAnsi="游明朝" w:eastAsia="游明朝"/>
                <w:b w:val="0"/>
                <w:color w:val="23301F"/>
                <w:sz w:val="19"/>
              </w:rPr>
              <w:t>リフレッシュの効果があると考えるため、嫌なことも乗り切れるだろう。</w:t>
            </w:r>
          </w:p>
        </w:tc>
        <w:tc>
          <w:tcPr>
            <w:tcW w:type="dxa" w:w="3402"/>
            <w:vAlign w:val="center"/>
          </w:tcPr>
          <w:p>
            <w:pPr>
              <w:spacing w:after="0" w:line="288" w:lineRule="auto"/>
            </w:pPr>
            <w:r/>
            <w:r>
              <w:rPr>
                <w:rFonts w:ascii="游明朝" w:hAnsi="游明朝" w:eastAsia="游明朝"/>
                <w:b/>
                <w:color w:val="2C5F2D"/>
                <w:sz w:val="19"/>
              </w:rPr>
              <w:t>リフレッシュの効果があるため、嫌なことも乗り切れると考える。</w:t>
            </w:r>
          </w:p>
        </w:tc>
        <w:tc>
          <w:tcPr>
            <w:tcW w:type="dxa" w:w="2835"/>
            <w:vAlign w:val="center"/>
          </w:tcPr>
          <w:p>
            <w:pPr>
              <w:spacing w:after="0" w:line="288" w:lineRule="auto"/>
            </w:pPr>
            <w:r/>
            <w:r>
              <w:rPr>
                <w:rFonts w:ascii="游ゴシック" w:hAnsi="游ゴシック" w:eastAsia="游ゴシック"/>
                <w:b w:val="0"/>
                <w:color w:val="23301F"/>
                <w:sz w:val="18"/>
              </w:rPr>
              <w:t>「考えるため〜だろう」のねじれ</w:t>
            </w:r>
          </w:p>
        </w:tc>
      </w:tr>
      <w:tr>
        <w:tc>
          <w:tcPr>
            <w:tcW w:type="dxa" w:w="3402"/>
            <w:vAlign w:val="center"/>
          </w:tcPr>
          <w:p>
            <w:pPr>
              <w:spacing w:after="0" w:line="288" w:lineRule="auto"/>
            </w:pPr>
            <w:r/>
            <w:r>
              <w:rPr>
                <w:rFonts w:ascii="游明朝" w:hAnsi="游明朝" w:eastAsia="游明朝"/>
                <w:b w:val="0"/>
                <w:color w:val="23301F"/>
                <w:sz w:val="19"/>
              </w:rPr>
              <w:t>宝くじ方式を教えてあげたい。</w:t>
            </w:r>
          </w:p>
        </w:tc>
        <w:tc>
          <w:tcPr>
            <w:tcW w:type="dxa" w:w="3402"/>
            <w:vAlign w:val="center"/>
          </w:tcPr>
          <w:p>
            <w:pPr>
              <w:spacing w:after="0" w:line="288" w:lineRule="auto"/>
            </w:pPr>
            <w:r/>
            <w:r>
              <w:rPr>
                <w:rFonts w:ascii="游明朝" w:hAnsi="游明朝" w:eastAsia="游明朝"/>
                <w:b/>
                <w:color w:val="2C5F2D"/>
                <w:sz w:val="19"/>
              </w:rPr>
              <w:t>今の経験もいつか力になると伝えたい。</w:t>
            </w:r>
          </w:p>
        </w:tc>
        <w:tc>
          <w:tcPr>
            <w:tcW w:type="dxa" w:w="2835"/>
            <w:vAlign w:val="center"/>
          </w:tcPr>
          <w:p>
            <w:pPr>
              <w:spacing w:after="0" w:line="288" w:lineRule="auto"/>
            </w:pPr>
            <w:r/>
            <w:r>
              <w:rPr>
                <w:rFonts w:ascii="游ゴシック" w:hAnsi="游ゴシック" w:eastAsia="游ゴシック"/>
                <w:b w:val="0"/>
                <w:color w:val="23301F"/>
                <w:sz w:val="18"/>
              </w:rPr>
              <w:t>「教えてあげたい」は上から目線に聞こえる。中身を具体的に</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構成の見直し（Q3 段落メモ）</w:t>
      </w:r>
    </w:p>
    <w:p>
      <w:pPr>
        <w:spacing w:after="80" w:before="0" w:line="300" w:lineRule="auto"/>
      </w:pPr>
      <w:r>
        <w:rPr>
          <w:rFonts w:ascii="游ゴシック" w:hAnsi="游ゴシック" w:eastAsia="游ゴシック"/>
          <w:b w:val="0"/>
          <w:color w:val="5B6B54"/>
          <w:sz w:val="19"/>
        </w:rPr>
        <w:t>左があなたの答案の骨組み、右がおすすめの骨組み。書く前にこのメモを作れば、構成は安定する。</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4819"/>
        <w:gridCol w:w="4819"/>
      </w:tblGrid>
      <w:tr>
        <w:tc>
          <w:tcPr>
            <w:tcW w:type="dxa" w:w="4819"/>
            <w:shd w:val="clear" w:color="auto" w:fill="2C5F2D"/>
            <w:vAlign w:val="center"/>
          </w:tcPr>
          <w:p>
            <w:pPr>
              <w:spacing w:after="0" w:line="288" w:lineRule="auto"/>
              <w:jc w:val="center"/>
            </w:pPr>
            <w:r/>
            <w:r>
              <w:rPr>
                <w:rFonts w:ascii="游ゴシック" w:hAnsi="游ゴシック" w:eastAsia="游ゴシック"/>
                <w:b/>
                <w:color w:val="FFFFFF"/>
                <w:sz w:val="19"/>
              </w:rPr>
              <w:t>あなたの答案</w:t>
            </w:r>
          </w:p>
        </w:tc>
        <w:tc>
          <w:tcPr>
            <w:tcW w:type="dxa" w:w="4819"/>
            <w:shd w:val="clear" w:color="auto" w:fill="D9782D"/>
            <w:vAlign w:val="center"/>
          </w:tcPr>
          <w:p>
            <w:pPr>
              <w:spacing w:after="0" w:line="288" w:lineRule="auto"/>
              <w:jc w:val="center"/>
            </w:pPr>
            <w:r/>
            <w:r>
              <w:rPr>
                <w:rFonts w:ascii="游ゴシック" w:hAnsi="游ゴシック" w:eastAsia="游ゴシック"/>
                <w:b/>
                <w:color w:val="FFFFFF"/>
                <w:sz w:val="19"/>
              </w:rPr>
              <w:t>おすすめの構成メモ</w:t>
            </w:r>
          </w:p>
        </w:tc>
      </w:tr>
      <w:tr>
        <w:tc>
          <w:tcPr>
            <w:tcW w:type="dxa" w:w="4819"/>
            <w:vAlign w:val="center"/>
          </w:tcPr>
          <w:p>
            <w:pPr>
              <w:spacing w:after="0" w:line="288" w:lineRule="auto"/>
            </w:pPr>
            <w:r/>
            <w:r>
              <w:rPr>
                <w:rFonts w:ascii="游ゴシック" w:hAnsi="游ゴシック" w:eastAsia="游ゴシック"/>
                <w:b w:val="0"/>
                <w:color w:val="23301F"/>
                <w:sz w:val="19"/>
              </w:rPr>
              <w:t>【序論】要約：つらい思い出は十年二十年 → 宝くじ方式で乗り切れる（文がねじれ）</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【序論】要約：起こることはすべて宝くじ → つらい経験もいつか化けるかも → 乗り切れる</w:t>
            </w:r>
          </w:p>
        </w:tc>
      </w:tr>
      <w:tr>
        <w:tc>
          <w:tcPr>
            <w:tcW w:type="dxa" w:w="4819"/>
            <w:vAlign w:val="center"/>
          </w:tcPr>
          <w:p>
            <w:pPr>
              <w:spacing w:after="0" w:line="288" w:lineRule="auto"/>
            </w:pPr>
            <w:r/>
            <w:r>
              <w:rPr>
                <w:rFonts w:ascii="游ゴシック" w:hAnsi="游ゴシック" w:eastAsia="游ゴシック"/>
                <w:b w:val="0"/>
                <w:color w:val="23301F"/>
                <w:sz w:val="19"/>
              </w:rPr>
              <w:t>【主張】賛成／理由は二つ</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【主張】賛成：先の見えない不安を期待に変える考え方</w:t>
            </w:r>
          </w:p>
        </w:tc>
      </w:tr>
      <w:tr>
        <w:tc>
          <w:tcPr>
            <w:tcW w:type="dxa" w:w="4819"/>
            <w:vAlign w:val="center"/>
          </w:tcPr>
          <w:p>
            <w:pPr>
              <w:spacing w:after="0" w:line="288" w:lineRule="auto"/>
            </w:pPr>
            <w:r/>
            <w:r>
              <w:rPr>
                <w:rFonts w:ascii="游ゴシック" w:hAnsi="游ゴシック" w:eastAsia="游ゴシック"/>
                <w:b w:val="0"/>
                <w:color w:val="23301F"/>
                <w:sz w:val="19"/>
              </w:rPr>
              <w:t>【本論①】理由①：毎日が楽しくなる（本物の宝くじの楽しさ）← ライブの抽選を待つ時間</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【本論①】理由①：結果が分からない時間にも意味 ← 筆者「持っていること自体が大事」＋ライブの抽選</w:t>
            </w:r>
          </w:p>
        </w:tc>
      </w:tr>
      <w:tr>
        <w:tc>
          <w:tcPr>
            <w:tcW w:type="dxa" w:w="4819"/>
            <w:vAlign w:val="center"/>
          </w:tcPr>
          <w:p>
            <w:pPr>
              <w:spacing w:after="0" w:line="288" w:lineRule="auto"/>
            </w:pPr>
            <w:r/>
            <w:r>
              <w:rPr>
                <w:rFonts w:ascii="游ゴシック" w:hAnsi="游ゴシック" w:eastAsia="游ゴシック"/>
                <w:b w:val="0"/>
                <w:color w:val="23301F"/>
                <w:sz w:val="19"/>
              </w:rPr>
              <w:t>【本論②】理由②：教員は長時間労働 → リフレッシュ ← 祖母が宝くじでリフレッシュ</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【本論②】理由②：つらい時期の支え ← 祖母の話 → つらい時間を無駄にしない</w:t>
            </w:r>
          </w:p>
        </w:tc>
      </w:tr>
      <w:tr>
        <w:tc>
          <w:tcPr>
            <w:tcW w:type="dxa" w:w="4819"/>
            <w:vAlign w:val="center"/>
          </w:tcPr>
          <w:p>
            <w:pPr>
              <w:spacing w:after="0" w:line="288" w:lineRule="auto"/>
            </w:pPr>
            <w:r/>
            <w:r>
              <w:rPr>
                <w:rFonts w:ascii="游ゴシック" w:hAnsi="游ゴシック" w:eastAsia="游ゴシック"/>
                <w:b w:val="0"/>
                <w:color w:val="23301F"/>
                <w:sz w:val="19"/>
              </w:rPr>
              <w:t>【結論】楽しくなる・リフレッシュ → 乗り切れる → 教員として子どもに教えたい・教育相談を学ぶ</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【結論】前向きなものの見方 → 教員として「今の経験もいつか力に」と伝える・教育相談を学ぶ</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書き直し例（580字）</w:t>
      </w:r>
    </w:p>
    <w:p>
      <w:pPr>
        <w:spacing w:after="80" w:before="0" w:line="300" w:lineRule="auto"/>
      </w:pPr>
      <w:r>
        <w:rPr>
          <w:rFonts w:ascii="游ゴシック" w:hAnsi="游ゴシック" w:eastAsia="游ゴシック"/>
          <w:b w:val="0"/>
          <w:color w:val="5B6B54"/>
          <w:sz w:val="19"/>
        </w:rPr>
        <w:t>あなたの考えを生かしたまま直した一例。丸写しせず、どこが変わったかを比べて読むこと。</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序論</w:t>
            </w:r>
          </w:p>
          <w:p>
            <w:pPr>
              <w:spacing w:after="0" w:line="288" w:lineRule="auto"/>
            </w:pPr>
            <w:r>
              <w:rPr>
                <w:rFonts w:ascii="游ゴシック" w:hAnsi="游ゴシック" w:eastAsia="游ゴシック"/>
                <w:b/>
                <w:color w:val="2C5F2D"/>
                <w:sz w:val="19"/>
              </w:rPr>
              <w:t>123字</w:t>
            </w:r>
          </w:p>
        </w:tc>
        <w:tc>
          <w:tcPr>
            <w:tcW w:type="dxa" w:w="8277"/>
            <w:vAlign w:val="center"/>
          </w:tcPr>
          <w:p>
            <w:pPr>
              <w:spacing w:after="0" w:line="288" w:lineRule="auto"/>
            </w:pPr>
            <w:r/>
            <w:r>
              <w:rPr>
                <w:rFonts w:ascii="游明朝" w:hAnsi="游明朝" w:eastAsia="游明朝"/>
                <w:b w:val="0"/>
                <w:color w:val="23301F"/>
                <w:sz w:val="21"/>
              </w:rPr>
              <w:t>筆者は、自分の身に起こることをすべて「宝くじを買っている」と考えればよいと述べている。つらい経験も、いつか何かに化けるかもしれないと思えば、もう少し抱えていられる。この「宝くじ方式」を使えば、嫌なことも何とか乗り切れるという現実のとらえ方であ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主張</w:t>
            </w:r>
          </w:p>
          <w:p>
            <w:pPr>
              <w:spacing w:after="0" w:line="288" w:lineRule="auto"/>
            </w:pPr>
            <w:r>
              <w:rPr>
                <w:rFonts w:ascii="游ゴシック" w:hAnsi="游ゴシック" w:eastAsia="游ゴシック"/>
                <w:b/>
                <w:color w:val="2C5F2D"/>
                <w:sz w:val="19"/>
              </w:rPr>
              <w:t>52字</w:t>
            </w:r>
          </w:p>
        </w:tc>
        <w:tc>
          <w:tcPr>
            <w:tcW w:type="dxa" w:w="8277"/>
            <w:vAlign w:val="center"/>
          </w:tcPr>
          <w:p>
            <w:pPr>
              <w:spacing w:after="0" w:line="288" w:lineRule="auto"/>
            </w:pPr>
            <w:r/>
            <w:r>
              <w:rPr>
                <w:rFonts w:ascii="游明朝" w:hAnsi="游明朝" w:eastAsia="游明朝"/>
                <w:b w:val="0"/>
                <w:color w:val="23301F"/>
                <w:sz w:val="21"/>
              </w:rPr>
              <w:t>私はこの考えに賛成である。宝くじ方式は、先の見えない不安を、期待に変える考え方だからだ。理由は二つある。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本論①</w:t>
            </w:r>
          </w:p>
          <w:p>
            <w:pPr>
              <w:spacing w:after="0" w:line="288" w:lineRule="auto"/>
            </w:pPr>
            <w:r>
              <w:rPr>
                <w:rFonts w:ascii="游ゴシック" w:hAnsi="游ゴシック" w:eastAsia="游ゴシック"/>
                <w:b/>
                <w:color w:val="2C5F2D"/>
                <w:sz w:val="19"/>
              </w:rPr>
              <w:t>158字</w:t>
            </w:r>
          </w:p>
        </w:tc>
        <w:tc>
          <w:tcPr>
            <w:tcW w:type="dxa" w:w="8277"/>
            <w:vAlign w:val="center"/>
          </w:tcPr>
          <w:p>
            <w:pPr>
              <w:spacing w:after="0" w:line="288" w:lineRule="auto"/>
            </w:pPr>
            <w:r/>
            <w:r>
              <w:rPr>
                <w:rFonts w:ascii="游明朝" w:hAnsi="游明朝" w:eastAsia="游明朝"/>
                <w:b w:val="0"/>
                <w:color w:val="23301F"/>
                <w:sz w:val="21"/>
              </w:rPr>
              <w:t>一つ目は、結果が分からない時間にも意味を見いだせるからである。筆者は、くじを持っていること自体が大事で、当たるかどうかは問題ではないと述べている。私も、好きなアーティストのライブの抽選に申し込んだとき、結果発表までの時間がドキドキして楽しかった。結果が出る前から、待つ時間そのものが自分を前向きにしてくれたのであ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本論②</w:t>
            </w:r>
          </w:p>
          <w:p>
            <w:pPr>
              <w:spacing w:after="0" w:line="288" w:lineRule="auto"/>
            </w:pPr>
            <w:r>
              <w:rPr>
                <w:rFonts w:ascii="游ゴシック" w:hAnsi="游ゴシック" w:eastAsia="游ゴシック"/>
                <w:b/>
                <w:color w:val="2C5F2D"/>
                <w:sz w:val="19"/>
              </w:rPr>
              <w:t>147字</w:t>
            </w:r>
          </w:p>
        </w:tc>
        <w:tc>
          <w:tcPr>
            <w:tcW w:type="dxa" w:w="8277"/>
            <w:vAlign w:val="center"/>
          </w:tcPr>
          <w:p>
            <w:pPr>
              <w:spacing w:after="0" w:line="288" w:lineRule="auto"/>
            </w:pPr>
            <w:r/>
            <w:r>
              <w:rPr>
                <w:rFonts w:ascii="游明朝" w:hAnsi="游明朝" w:eastAsia="游明朝"/>
                <w:b w:val="0"/>
                <w:color w:val="23301F"/>
                <w:sz w:val="21"/>
              </w:rPr>
              <w:t>二つ目は、つらい時期を乗り越える支えになるからである。祖母は昔、仕事が大変な時期に宝くじを買い、気持ちを切り替えていたと聞いたことがある。今のつらさがいつか何かの役に立つかもしれないと思えれば、人は目の前の苦しさに押しつぶされずにすむ。宝くじ方式は、つらい時間を「無駄」にしない考え方でもあ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100字</w:t>
            </w:r>
          </w:p>
        </w:tc>
        <w:tc>
          <w:tcPr>
            <w:tcW w:type="dxa" w:w="8277"/>
            <w:vAlign w:val="center"/>
          </w:tcPr>
          <w:p>
            <w:pPr>
              <w:spacing w:after="0" w:line="288" w:lineRule="auto"/>
            </w:pPr>
            <w:r/>
            <w:r>
              <w:rPr>
                <w:rFonts w:ascii="游明朝" w:hAnsi="游明朝" w:eastAsia="游明朝"/>
                <w:b w:val="0"/>
                <w:color w:val="23301F"/>
                <w:sz w:val="21"/>
              </w:rPr>
              <w:t>以上より、宝くじ方式は、嫌なことを乗り切るための前向きなものの見方である。私は将来教員になり、困ったことを抱える子どもに、今の経験もいつか力になると伝えたい。そのために大学では教育相談を深く学び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アドミッションポリシーとのつながり</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大学全体：建学の精神・教育理念に共感し、学問への意欲と、多様性・主体性への姿勢を持つ学生</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文学部 教育学科：本学の教育の理念を理解し、学ぶ意欲が高く、学科の求める学生像に合う学生を選抜（学科固有の方針本文は未確認）</w:t>
      </w:r>
    </w:p>
    <w:p>
      <w:pPr>
        <w:spacing w:after="40" w:before="40" w:line="300" w:lineRule="auto"/>
      </w:pPr>
      <w:r>
        <w:rPr>
          <w:rFonts w:ascii="游ゴシック" w:hAnsi="游ゴシック" w:eastAsia="游ゴシック"/>
          <w:b w:val="0"/>
          <w:color w:val="23301F"/>
          <w:sz w:val="21"/>
        </w:rPr>
        <w:t>「困っている子を支えたい」「教育相談を学びたい」と、大学で学ぶ内容まで具体的に書けているのは、学ぶ意欲を示すうえでとても良い。課題文の読み取りを正確にすれば、この結論がさらに生きる。</w:t>
      </w:r>
    </w:p>
    <w:p>
      <w:pPr>
        <w:spacing w:after="80" w:before="0" w:line="300" w:lineRule="auto"/>
      </w:pPr>
      <w:r>
        <w:rPr>
          <w:rFonts w:ascii="游ゴシック" w:hAnsi="游ゴシック" w:eastAsia="游ゴシック"/>
          <w:b w:val="0"/>
          <w:color w:val="5B6B54"/>
          <w:sz w:val="16"/>
        </w:rPr>
        <w:t>出典：https://www.kokushikan.ac.jp/admission/undergraduate/guidebook/docs/admission_guidebook_2026.pdf</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次回の課題</w:t>
      </w:r>
    </w:p>
    <w:p>
      <w:pPr>
        <w:spacing w:after="40" w:before="0" w:line="300" w:lineRule="auto"/>
      </w:pPr>
      <w:r>
        <w:rPr>
          <w:rFonts w:ascii="游ゴシック" w:hAnsi="游ゴシック" w:eastAsia="游ゴシック"/>
          <w:b/>
          <w:color w:val="D9782D"/>
          <w:sz w:val="21"/>
        </w:rPr>
        <w:t>1．</w:t>
      </w:r>
      <w:r>
        <w:rPr>
          <w:rFonts w:ascii="游ゴシック" w:hAnsi="游ゴシック" w:eastAsia="游ゴシック"/>
          <w:b w:val="0"/>
          <w:color w:val="23301F"/>
          <w:sz w:val="21"/>
        </w:rPr>
        <w:t>課題文にたとえ（比喩）が出てきたら、「何をたとえているのか」を一文で言い換えてから書き始める</w:t>
      </w:r>
    </w:p>
    <w:p>
      <w:pPr>
        <w:spacing w:after="40" w:before="0" w:line="300" w:lineRule="auto"/>
      </w:pPr>
      <w:r>
        <w:rPr>
          <w:rFonts w:ascii="游ゴシック" w:hAnsi="游ゴシック" w:eastAsia="游ゴシック"/>
          <w:b/>
          <w:color w:val="D9782D"/>
          <w:sz w:val="21"/>
        </w:rPr>
        <w:t>2．</w:t>
      </w:r>
      <w:r>
        <w:rPr>
          <w:rFonts w:ascii="游ゴシック" w:hAnsi="游ゴシック" w:eastAsia="游ゴシック"/>
          <w:b w:val="0"/>
          <w:color w:val="23301F"/>
          <w:sz w:val="21"/>
        </w:rPr>
        <w:t>理由の段落は「二つ目は、〜からである」と、理由を先に書く</w:t>
      </w:r>
    </w:p>
    <w:p>
      <w:pPr>
        <w:spacing w:after="40" w:before="0" w:line="300" w:lineRule="auto"/>
      </w:pPr>
      <w:r>
        <w:rPr>
          <w:rFonts w:ascii="游ゴシック" w:hAnsi="游ゴシック" w:eastAsia="游ゴシック"/>
          <w:b/>
          <w:color w:val="D9782D"/>
          <w:sz w:val="21"/>
        </w:rPr>
        <w:t>3．</w:t>
      </w:r>
      <w:r>
        <w:rPr>
          <w:rFonts w:ascii="游ゴシック" w:hAnsi="游ゴシック" w:eastAsia="游ゴシック"/>
          <w:b w:val="0"/>
          <w:color w:val="23301F"/>
          <w:sz w:val="21"/>
        </w:rPr>
        <w:t>要約の一文目は「筆者は、〜と述べている」の形で書く</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color w:val="5B6B54"/>
        <w:sz w:val="16"/>
      </w:rPr>
      <w:t>小論文添削（ショー）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