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2026-10-17</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令和8年度 Ⅰ期（10月24日）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想像力の使い方　／　燃え殻『ブルー ハワイ』</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筆者の「想像力の使い方」に関する主張を要約し、それに対するあなたの考えを600字で述べなさい。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538字（9割（540字）に届いていない）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61</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要約と賛成の立場、体験、結論がそろい、設問には答えている。ただ理由①②が課題文の内容の言い換えにとどまり、「想像力をどう使うべきか」という自分の考えが弱い。</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要約→賛成→理由2つ→体験→結論の形は良い。理由②「子どもの人生なのだから大人が思うことをやらせる必要がない」は主張からずれている。体験の段落と理由の段落のつながりも示したい。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この家には近づいてはいけない」と大人が言った話を聞いた体験は、課題文の内容とぴったり重なる良い具体例。人から聞いた話なので、自分がどう感じたか（かわいそうで残酷）まで書けている点も良い。</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9 / 20</w:t>
            </w:r>
          </w:p>
        </w:tc>
        <w:tc>
          <w:tcPr>
            <w:tcW w:type="dxa" w:w="6350"/>
            <w:vAlign w:val="center"/>
          </w:tcPr>
          <w:p>
            <w:pPr>
              <w:spacing w:after="0" w:line="288" w:lineRule="auto"/>
            </w:pPr>
            <w:r/>
            <w:r>
              <w:rPr>
                <w:rFonts w:ascii="游ゴシック" w:hAnsi="游ゴシック" w:eastAsia="游ゴシック"/>
                <w:b w:val="0"/>
                <w:color w:val="23301F"/>
                <w:sz w:val="19"/>
              </w:rPr>
              <w:t>結論が「『いま』を楽しむことが大切」で終わり、教育や教員の役割に一度も触れていない。教育学科の志望理由につながる一文がほしい。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538字で、600字の9割（540字）にわずかに届かない。「ものすごく」は話し言葉。「関わらず」は「かかわらず」。大人の発言の引用がかぎかっこなしで、文が混ざっている。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と字数（600字）は大学公式の過去問で確認した。続きのページを含む全文で評価した。要約・賛成・理由・体験・結論の流れがそろい、課題文と重なる体験（大人の事情で遊びを禁じられた子の話）を書けた点がとても良い。課題は二つ。一つは、理由が課題文の言い換えにとどまっていること。「違いより一緒に過ごす経験が相手を受け入れる力になる」のように、自分の言葉で理由を書きたい。もう一つは、結論が教育学科とつながっていないこと。「どの子も一緒に過ごせる学級をつくりたい」と教員の視点で締めれば、志望理由の伝わる答案にな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筆者の主張を、例（身体の不自由な子・男女・年齢）を挙げて正しく要約できている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大人の事情で遊びを禁じられた子の話という、課題文と重なる体験を書けている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体験について「かわいそうで残酷だと感じた」と、自分の気持ちまで書けている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最後に賛成の立場をもう一度示し、結論の段落を置けている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理由を自分の言葉で書く</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「小学生なのだから宗教や家がお寺などということを深く考えず、仲良く遊んだ方が良い」</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課題文の内容の繰り返しになっている。「違いを意識しすぎると壁ができる。一緒に過ごす経験こそが相手を受け入れる力になる」のように、なぜそう言えるのかを自分の言葉で書く。</w:t>
      </w:r>
    </w:p>
    <w:p>
      <w:pPr>
        <w:spacing w:after="20" w:before="60" w:line="300" w:lineRule="auto"/>
      </w:pPr>
      <w:r>
        <w:rPr>
          <w:rFonts w:ascii="游ゴシック" w:hAnsi="游ゴシック" w:eastAsia="游ゴシック"/>
          <w:b/>
          <w:color w:val="17321A"/>
          <w:sz w:val="21"/>
        </w:rPr>
        <w:t>2. 理由②を主張とつなげ、体験と結びつける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「また、子どもの人生なのだから大人が思うことをやらせる必要がないと考えるからだ。」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この文は「想像力の使い方」から話がずれている。理由②は「大人の事情が子どもの関係を壊してしまう」とし、すぐ後の体験（遊ぶのを禁じられた子の話）をその根拠として続けると、段落がつながる。</w:t>
      </w:r>
    </w:p>
    <w:p>
      <w:pPr>
        <w:spacing w:after="20" w:before="60" w:line="300" w:lineRule="auto"/>
      </w:pPr>
      <w:r>
        <w:rPr>
          <w:rFonts w:ascii="游ゴシック" w:hAnsi="游ゴシック" w:eastAsia="游ゴシック"/>
          <w:b/>
          <w:color w:val="17321A"/>
          <w:sz w:val="21"/>
        </w:rPr>
        <w:t>3. 結論を教育学科での学びにつなげる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「大人の難しい事情を考えることよりも、「いま」を楽しむことがものすごく大切だと考える。」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教育学科の小論文なので、「私は教育学科で学び、事情の違いに関係なく、どの子も一緒に過ごせる学級をつくれる教員になりたい」のように、教員としての目標で締める。</w:t>
      </w:r>
    </w:p>
    <w:p>
      <w:pPr>
        <w:spacing w:after="20" w:before="60" w:line="300" w:lineRule="auto"/>
      </w:pPr>
      <w:r>
        <w:rPr>
          <w:rFonts w:ascii="游ゴシック" w:hAnsi="游ゴシック" w:eastAsia="游ゴシック"/>
          <w:b/>
          <w:color w:val="17321A"/>
          <w:sz w:val="21"/>
        </w:rPr>
        <w:t>4. 引用はかぎかっこでくくる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「この家は宗教的に近づいてはいけない。遊んではいけないよと大人が子どもに言った」</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人の発言を文の中に入れるときは「あの家には近づいてはいけない、遊んではいけない」とかぎかっこでくくると、誰の言葉かがはっきりする。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あなたの答案（538字）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108字</w:t>
            </w:r>
          </w:p>
        </w:tc>
        <w:tc>
          <w:tcPr>
            <w:tcW w:type="dxa" w:w="8277"/>
            <w:vAlign w:val="center"/>
          </w:tcPr>
          <w:p>
            <w:pPr>
              <w:spacing w:after="0" w:line="288" w:lineRule="auto"/>
            </w:pPr>
            <w:r/>
            <w:r>
              <w:rPr>
                <w:rFonts w:ascii="游明朝" w:hAnsi="游明朝" w:eastAsia="游明朝"/>
                <w:b w:val="0"/>
                <w:color w:val="23301F"/>
                <w:sz w:val="21"/>
              </w:rPr>
              <w:t>筆者は「想像力の使い方」について、立場や個性や事情を突き詰めて考えるよりも、「いま」を一緒に味わうことを考えている。つまり、身体の不自由な子も女の子も男の子も年齢も関係なく、みんなで遊べるようにしていたと述べてい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24字</w:t>
            </w:r>
          </w:p>
        </w:tc>
        <w:tc>
          <w:tcPr>
            <w:tcW w:type="dxa" w:w="8277"/>
            <w:vAlign w:val="center"/>
          </w:tcPr>
          <w:p>
            <w:pPr>
              <w:spacing w:after="0" w:line="288" w:lineRule="auto"/>
            </w:pPr>
            <w:r/>
            <w:r>
              <w:rPr>
                <w:rFonts w:ascii="游明朝" w:hAnsi="游明朝" w:eastAsia="游明朝"/>
                <w:b w:val="0"/>
                <w:color w:val="23301F"/>
                <w:sz w:val="21"/>
              </w:rPr>
              <w:t>私は、筆者の「想像力の使い方」について賛成する。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182字</w:t>
            </w:r>
          </w:p>
        </w:tc>
        <w:tc>
          <w:tcPr>
            <w:tcW w:type="dxa" w:w="8277"/>
            <w:vAlign w:val="center"/>
          </w:tcPr>
          <w:p>
            <w:pPr>
              <w:spacing w:after="0" w:line="288" w:lineRule="auto"/>
            </w:pPr>
            <w:r/>
            <w:r>
              <w:rPr>
                <w:rFonts w:ascii="游明朝" w:hAnsi="游明朝" w:eastAsia="游明朝"/>
                <w:b w:val="0"/>
                <w:color w:val="23301F"/>
                <w:sz w:val="21"/>
              </w:rPr>
              <w:t>そう考える理由は二つある。一つ目は、小学生なのだから宗教や家がお寺などということを深く考えず、仲良く遊んだ方が良いと考えるからである。加えて、そのようなことに想像力を使うよりも、他のことに考えを巡らせるべきだ。二つ目は、大人の事情があったとしても、それは別に子どもの世界には関係がない。また、子どもの人生なのだから大人が思うことをやらせる必要がないと考えるからだ。</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150字</w:t>
            </w:r>
          </w:p>
        </w:tc>
        <w:tc>
          <w:tcPr>
            <w:tcW w:type="dxa" w:w="8277"/>
            <w:vAlign w:val="center"/>
          </w:tcPr>
          <w:p>
            <w:pPr>
              <w:spacing w:after="0" w:line="288" w:lineRule="auto"/>
            </w:pPr>
            <w:r/>
            <w:r>
              <w:rPr>
                <w:rFonts w:ascii="游明朝" w:hAnsi="游明朝" w:eastAsia="游明朝"/>
                <w:b w:val="0"/>
                <w:color w:val="23301F"/>
                <w:sz w:val="21"/>
              </w:rPr>
              <w:t>私が小学生くらいの頃、この家は宗教的に近づいてはいけない。遊んではいけないよと大人が子どもに言ったということを聞いたことがあった。ダメと言われた子どもは、一緒に遊びたかったにも関わらず制限をされていた。その頃の私は、親の宗教のせいで子どもを巻き込んでしまい、なんてかわいそうで残酷なんだろうと感じた。</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74字</w:t>
            </w:r>
          </w:p>
        </w:tc>
        <w:tc>
          <w:tcPr>
            <w:tcW w:type="dxa" w:w="8277"/>
            <w:vAlign w:val="center"/>
          </w:tcPr>
          <w:p>
            <w:pPr>
              <w:spacing w:after="0" w:line="288" w:lineRule="auto"/>
            </w:pPr>
            <w:r/>
            <w:r>
              <w:rPr>
                <w:rFonts w:ascii="游明朝" w:hAnsi="游明朝" w:eastAsia="游明朝"/>
                <w:b w:val="0"/>
                <w:color w:val="23301F"/>
                <w:sz w:val="21"/>
              </w:rPr>
              <w:t>以上のことから、私は筆者の「想像力の使い方」について賛成である。大人の難しい事情を考えることよりも、「いま」を楽しむことがものすごく大切だと考える。</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「いま」を一緒に味わうことを考えている。</w:t>
            </w:r>
          </w:p>
        </w:tc>
        <w:tc>
          <w:tcPr>
            <w:tcW w:type="dxa" w:w="3402"/>
            <w:vAlign w:val="center"/>
          </w:tcPr>
          <w:p>
            <w:pPr>
              <w:spacing w:after="0" w:line="288" w:lineRule="auto"/>
            </w:pPr>
            <w:r/>
            <w:r>
              <w:rPr>
                <w:rFonts w:ascii="游明朝" w:hAnsi="游明朝" w:eastAsia="游明朝"/>
                <w:b/>
                <w:color w:val="2C5F2D"/>
                <w:sz w:val="19"/>
              </w:rPr>
              <w:t>「いま」を一緒に味わうことに想像力を使いたいと述べている。</w:t>
            </w:r>
          </w:p>
        </w:tc>
        <w:tc>
          <w:tcPr>
            <w:tcW w:type="dxa" w:w="2835"/>
            <w:vAlign w:val="center"/>
          </w:tcPr>
          <w:p>
            <w:pPr>
              <w:spacing w:after="0" w:line="288" w:lineRule="auto"/>
            </w:pPr>
            <w:r/>
            <w:r>
              <w:rPr>
                <w:rFonts w:ascii="游ゴシック" w:hAnsi="游ゴシック" w:eastAsia="游ゴシック"/>
                <w:b w:val="0"/>
                <w:color w:val="23301F"/>
                <w:sz w:val="18"/>
              </w:rPr>
              <w:t>何を考えているのかが曖昧。筆者の主張の形にする</w:t>
            </w:r>
          </w:p>
        </w:tc>
      </w:tr>
      <w:tr>
        <w:tc>
          <w:tcPr>
            <w:tcW w:type="dxa" w:w="3402"/>
            <w:vAlign w:val="center"/>
          </w:tcPr>
          <w:p>
            <w:pPr>
              <w:spacing w:after="0" w:line="288" w:lineRule="auto"/>
            </w:pPr>
            <w:r/>
            <w:r>
              <w:rPr>
                <w:rFonts w:ascii="游明朝" w:hAnsi="游明朝" w:eastAsia="游明朝"/>
                <w:b w:val="0"/>
                <w:color w:val="23301F"/>
                <w:sz w:val="19"/>
              </w:rPr>
              <w:t>女の子も男の子も年齢も関係なく</w:t>
            </w:r>
          </w:p>
        </w:tc>
        <w:tc>
          <w:tcPr>
            <w:tcW w:type="dxa" w:w="3402"/>
            <w:vAlign w:val="center"/>
          </w:tcPr>
          <w:p>
            <w:pPr>
              <w:spacing w:after="0" w:line="288" w:lineRule="auto"/>
            </w:pPr>
            <w:r/>
            <w:r>
              <w:rPr>
                <w:rFonts w:ascii="游明朝" w:hAnsi="游明朝" w:eastAsia="游明朝"/>
                <w:b/>
                <w:color w:val="2C5F2D"/>
                <w:sz w:val="19"/>
              </w:rPr>
              <w:t>男の子も女の子も、年齢も関係なく</w:t>
            </w:r>
          </w:p>
        </w:tc>
        <w:tc>
          <w:tcPr>
            <w:tcW w:type="dxa" w:w="2835"/>
            <w:vAlign w:val="center"/>
          </w:tcPr>
          <w:p>
            <w:pPr>
              <w:spacing w:after="0" w:line="288" w:lineRule="auto"/>
            </w:pPr>
            <w:r/>
            <w:r>
              <w:rPr>
                <w:rFonts w:ascii="游ゴシック" w:hAnsi="游ゴシック" w:eastAsia="游ゴシック"/>
                <w:b w:val="0"/>
                <w:color w:val="23301F"/>
                <w:sz w:val="18"/>
              </w:rPr>
              <w:t>並べる言葉の種類をそろえる</w:t>
            </w:r>
          </w:p>
        </w:tc>
      </w:tr>
      <w:tr>
        <w:tc>
          <w:tcPr>
            <w:tcW w:type="dxa" w:w="3402"/>
            <w:vAlign w:val="center"/>
          </w:tcPr>
          <w:p>
            <w:pPr>
              <w:spacing w:after="0" w:line="288" w:lineRule="auto"/>
            </w:pPr>
            <w:r/>
            <w:r>
              <w:rPr>
                <w:rFonts w:ascii="游明朝" w:hAnsi="游明朝" w:eastAsia="游明朝"/>
                <w:b w:val="0"/>
                <w:color w:val="23301F"/>
                <w:sz w:val="19"/>
              </w:rPr>
              <w:t>宗教や家がお寺などということを</w:t>
            </w:r>
          </w:p>
        </w:tc>
        <w:tc>
          <w:tcPr>
            <w:tcW w:type="dxa" w:w="3402"/>
            <w:vAlign w:val="center"/>
          </w:tcPr>
          <w:p>
            <w:pPr>
              <w:spacing w:after="0" w:line="288" w:lineRule="auto"/>
            </w:pPr>
            <w:r/>
            <w:r>
              <w:rPr>
                <w:rFonts w:ascii="游明朝" w:hAnsi="游明朝" w:eastAsia="游明朝"/>
                <w:b/>
                <w:color w:val="2C5F2D"/>
                <w:sz w:val="19"/>
              </w:rPr>
              <w:t>家の宗教などの事情を</w:t>
            </w:r>
          </w:p>
        </w:tc>
        <w:tc>
          <w:tcPr>
            <w:tcW w:type="dxa" w:w="2835"/>
            <w:vAlign w:val="center"/>
          </w:tcPr>
          <w:p>
            <w:pPr>
              <w:spacing w:after="0" w:line="288" w:lineRule="auto"/>
            </w:pPr>
            <w:r/>
            <w:r>
              <w:rPr>
                <w:rFonts w:ascii="游ゴシック" w:hAnsi="游ゴシック" w:eastAsia="游ゴシック"/>
                <w:b w:val="0"/>
                <w:color w:val="23301F"/>
                <w:sz w:val="18"/>
              </w:rPr>
              <w:t>話し言葉的で冗長</w:t>
            </w:r>
          </w:p>
        </w:tc>
      </w:tr>
      <w:tr>
        <w:tc>
          <w:tcPr>
            <w:tcW w:type="dxa" w:w="3402"/>
            <w:vAlign w:val="center"/>
          </w:tcPr>
          <w:p>
            <w:pPr>
              <w:spacing w:after="0" w:line="288" w:lineRule="auto"/>
            </w:pPr>
            <w:r/>
            <w:r>
              <w:rPr>
                <w:rFonts w:ascii="游明朝" w:hAnsi="游明朝" w:eastAsia="游明朝"/>
                <w:b w:val="0"/>
                <w:color w:val="23301F"/>
                <w:sz w:val="19"/>
              </w:rPr>
              <w:t>一緒に遊びたかったにも関わらず制限をされていた。</w:t>
            </w:r>
          </w:p>
        </w:tc>
        <w:tc>
          <w:tcPr>
            <w:tcW w:type="dxa" w:w="3402"/>
            <w:vAlign w:val="center"/>
          </w:tcPr>
          <w:p>
            <w:pPr>
              <w:spacing w:after="0" w:line="288" w:lineRule="auto"/>
            </w:pPr>
            <w:r/>
            <w:r>
              <w:rPr>
                <w:rFonts w:ascii="游明朝" w:hAnsi="游明朝" w:eastAsia="游明朝"/>
                <w:b/>
                <w:color w:val="2C5F2D"/>
                <w:sz w:val="19"/>
              </w:rPr>
              <w:t>一緒に遊びたかったにもかかわらず、それができなかった。</w:t>
            </w:r>
          </w:p>
        </w:tc>
        <w:tc>
          <w:tcPr>
            <w:tcW w:type="dxa" w:w="2835"/>
            <w:vAlign w:val="center"/>
          </w:tcPr>
          <w:p>
            <w:pPr>
              <w:spacing w:after="0" w:line="288" w:lineRule="auto"/>
            </w:pPr>
            <w:r/>
            <w:r>
              <w:rPr>
                <w:rFonts w:ascii="游ゴシック" w:hAnsi="游ゴシック" w:eastAsia="游ゴシック"/>
                <w:b w:val="0"/>
                <w:color w:val="23301F"/>
                <w:sz w:val="18"/>
              </w:rPr>
              <w:t>「にもかかわらず」はひらがな。「制限をされていた」は硬く不自然</w:t>
            </w:r>
          </w:p>
        </w:tc>
      </w:tr>
      <w:tr>
        <w:tc>
          <w:tcPr>
            <w:tcW w:type="dxa" w:w="3402"/>
            <w:vAlign w:val="center"/>
          </w:tcPr>
          <w:p>
            <w:pPr>
              <w:spacing w:after="0" w:line="288" w:lineRule="auto"/>
            </w:pPr>
            <w:r/>
            <w:r>
              <w:rPr>
                <w:rFonts w:ascii="游明朝" w:hAnsi="游明朝" w:eastAsia="游明朝"/>
                <w:b w:val="0"/>
                <w:color w:val="23301F"/>
                <w:sz w:val="19"/>
              </w:rPr>
              <w:t>なんてかわいそうで残酷なんだろうと感じた。</w:t>
            </w:r>
          </w:p>
        </w:tc>
        <w:tc>
          <w:tcPr>
            <w:tcW w:type="dxa" w:w="3402"/>
            <w:vAlign w:val="center"/>
          </w:tcPr>
          <w:p>
            <w:pPr>
              <w:spacing w:after="0" w:line="288" w:lineRule="auto"/>
            </w:pPr>
            <w:r/>
            <w:r>
              <w:rPr>
                <w:rFonts w:ascii="游明朝" w:hAnsi="游明朝" w:eastAsia="游明朝"/>
                <w:b/>
                <w:color w:val="2C5F2D"/>
                <w:sz w:val="19"/>
              </w:rPr>
              <w:t>とてもかわいそうで残酷だと感じた。</w:t>
            </w:r>
          </w:p>
        </w:tc>
        <w:tc>
          <w:tcPr>
            <w:tcW w:type="dxa" w:w="2835"/>
            <w:vAlign w:val="center"/>
          </w:tcPr>
          <w:p>
            <w:pPr>
              <w:spacing w:after="0" w:line="288" w:lineRule="auto"/>
            </w:pPr>
            <w:r/>
            <w:r>
              <w:rPr>
                <w:rFonts w:ascii="游ゴシック" w:hAnsi="游ゴシック" w:eastAsia="游ゴシック"/>
                <w:b w:val="0"/>
                <w:color w:val="23301F"/>
                <w:sz w:val="18"/>
              </w:rPr>
              <w:t>「なんて〜なんだろう」は話し言葉</w:t>
            </w:r>
          </w:p>
        </w:tc>
      </w:tr>
      <w:tr>
        <w:tc>
          <w:tcPr>
            <w:tcW w:type="dxa" w:w="3402"/>
            <w:vAlign w:val="center"/>
          </w:tcPr>
          <w:p>
            <w:pPr>
              <w:spacing w:after="0" w:line="288" w:lineRule="auto"/>
            </w:pPr>
            <w:r/>
            <w:r>
              <w:rPr>
                <w:rFonts w:ascii="游明朝" w:hAnsi="游明朝" w:eastAsia="游明朝"/>
                <w:b w:val="0"/>
                <w:color w:val="23301F"/>
                <w:sz w:val="19"/>
              </w:rPr>
              <w:t>ものすごく大切だと考える。</w:t>
            </w:r>
          </w:p>
        </w:tc>
        <w:tc>
          <w:tcPr>
            <w:tcW w:type="dxa" w:w="3402"/>
            <w:vAlign w:val="center"/>
          </w:tcPr>
          <w:p>
            <w:pPr>
              <w:spacing w:after="0" w:line="288" w:lineRule="auto"/>
            </w:pPr>
            <w:r/>
            <w:r>
              <w:rPr>
                <w:rFonts w:ascii="游明朝" w:hAnsi="游明朝" w:eastAsia="游明朝"/>
                <w:b/>
                <w:color w:val="2C5F2D"/>
                <w:sz w:val="19"/>
              </w:rPr>
              <w:t>何より大切だと考える。</w:t>
            </w:r>
          </w:p>
        </w:tc>
        <w:tc>
          <w:tcPr>
            <w:tcW w:type="dxa" w:w="2835"/>
            <w:vAlign w:val="center"/>
          </w:tcPr>
          <w:p>
            <w:pPr>
              <w:spacing w:after="0" w:line="288" w:lineRule="auto"/>
            </w:pPr>
            <w:r/>
            <w:r>
              <w:rPr>
                <w:rFonts w:ascii="游ゴシック" w:hAnsi="游ゴシック" w:eastAsia="游ゴシック"/>
                <w:b w:val="0"/>
                <w:color w:val="23301F"/>
                <w:sz w:val="18"/>
              </w:rPr>
              <w:t>「ものすごく」は話し言葉</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【序論】要約：事情を突き詰めるより「いま」を一緒に味わう</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【序論】要約：事情を突き詰めるより「いま」を一緒に味わうことに想像力を</w:t>
            </w:r>
          </w:p>
        </w:tc>
      </w:tr>
      <w:tr>
        <w:tc>
          <w:tcPr>
            <w:tcW w:type="dxa" w:w="4819"/>
            <w:vAlign w:val="center"/>
          </w:tcPr>
          <w:p>
            <w:pPr>
              <w:spacing w:after="0" w:line="288" w:lineRule="auto"/>
            </w:pPr>
            <w:r/>
            <w:r>
              <w:rPr>
                <w:rFonts w:ascii="游ゴシック" w:hAnsi="游ゴシック" w:eastAsia="游ゴシック"/>
                <w:b w:val="0"/>
                <w:color w:val="23301F"/>
                <w:sz w:val="19"/>
              </w:rPr>
              <w:t>【主張】賛成</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【主張】賛成（一文）</w:t>
            </w:r>
          </w:p>
        </w:tc>
      </w:tr>
      <w:tr>
        <w:tc>
          <w:tcPr>
            <w:tcW w:type="dxa" w:w="4819"/>
            <w:vAlign w:val="center"/>
          </w:tcPr>
          <w:p>
            <w:pPr>
              <w:spacing w:after="0" w:line="288" w:lineRule="auto"/>
            </w:pPr>
            <w:r/>
            <w:r>
              <w:rPr>
                <w:rFonts w:ascii="游ゴシック" w:hAnsi="游ゴシック" w:eastAsia="游ゴシック"/>
                <w:b w:val="0"/>
                <w:color w:val="23301F"/>
                <w:sz w:val="19"/>
              </w:rPr>
              <w:t>【本論①】理由①：小学生は事情を考えず仲良く遊ぶべき／理由②：大人の事情は子どもに関係ない（ずれあり）</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【本論①】理由①：違いを意識しすぎると壁 → 一緒に過ごす経験が受け入れる力に</w:t>
            </w:r>
          </w:p>
        </w:tc>
      </w:tr>
      <w:tr>
        <w:tc>
          <w:tcPr>
            <w:tcW w:type="dxa" w:w="4819"/>
            <w:vAlign w:val="center"/>
          </w:tcPr>
          <w:p>
            <w:pPr>
              <w:spacing w:after="0" w:line="288" w:lineRule="auto"/>
            </w:pPr>
            <w:r/>
            <w:r>
              <w:rPr>
                <w:rFonts w:ascii="游ゴシック" w:hAnsi="游ゴシック" w:eastAsia="游ゴシック"/>
                <w:b w:val="0"/>
                <w:color w:val="23301F"/>
                <w:sz w:val="19"/>
              </w:rPr>
              <w:t>【本論②】体験：大人が「あの家と遊ぶな」と言った話 → かわいそうで残酷</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【本論②】理由②：大人の事情が関係を壊す ← 体験：遊ぶのを禁じられた子の話</w:t>
            </w:r>
          </w:p>
        </w:tc>
      </w:tr>
      <w:tr>
        <w:tc>
          <w:tcPr>
            <w:tcW w:type="dxa" w:w="4819"/>
            <w:vAlign w:val="center"/>
          </w:tcPr>
          <w:p>
            <w:pPr>
              <w:spacing w:after="0" w:line="288" w:lineRule="auto"/>
            </w:pPr>
            <w:r/>
            <w:r>
              <w:rPr>
                <w:rFonts w:ascii="游ゴシック" w:hAnsi="游ゴシック" w:eastAsia="游ゴシック"/>
                <w:b w:val="0"/>
                <w:color w:val="23301F"/>
                <w:sz w:val="19"/>
              </w:rPr>
              <w:t>【結論】賛成（再）→「いま」を楽しむことが大切（教育とのつながりなし）</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【結論】想像力は「いま」をつくるために → 教育学科で学び、どの子も一緒に過ごせる学級をつくる教員に</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書き直し例（559字）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112字</w:t>
            </w:r>
          </w:p>
        </w:tc>
        <w:tc>
          <w:tcPr>
            <w:tcW w:type="dxa" w:w="8277"/>
            <w:vAlign w:val="center"/>
          </w:tcPr>
          <w:p>
            <w:pPr>
              <w:spacing w:after="0" w:line="288" w:lineRule="auto"/>
            </w:pPr>
            <w:r/>
            <w:r>
              <w:rPr>
                <w:rFonts w:ascii="游明朝" w:hAnsi="游明朝" w:eastAsia="游明朝"/>
                <w:b w:val="0"/>
                <w:color w:val="23301F"/>
                <w:sz w:val="21"/>
              </w:rPr>
              <w:t>筆者は、相手の立場や事情を突き詰めて考えるよりも、「いま」を一緒に味わうことに想像力を使いたいと述べている。身体の不自由な子も、男の子も女の子も、年齢も関係なく、みんなで遊べるルールをつくっていたという例がそれを示してい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25字</w:t>
            </w:r>
          </w:p>
        </w:tc>
        <w:tc>
          <w:tcPr>
            <w:tcW w:type="dxa" w:w="8277"/>
            <w:vAlign w:val="center"/>
          </w:tcPr>
          <w:p>
            <w:pPr>
              <w:spacing w:after="0" w:line="288" w:lineRule="auto"/>
            </w:pPr>
            <w:r/>
            <w:r>
              <w:rPr>
                <w:rFonts w:ascii="游明朝" w:hAnsi="游明朝" w:eastAsia="游明朝"/>
                <w:b w:val="0"/>
                <w:color w:val="23301F"/>
                <w:sz w:val="21"/>
              </w:rPr>
              <w:t>私は、この筆者の考えに賛成である。理由は二つある。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159字</w:t>
            </w:r>
          </w:p>
        </w:tc>
        <w:tc>
          <w:tcPr>
            <w:tcW w:type="dxa" w:w="8277"/>
            <w:vAlign w:val="center"/>
          </w:tcPr>
          <w:p>
            <w:pPr>
              <w:spacing w:after="0" w:line="288" w:lineRule="auto"/>
            </w:pPr>
            <w:r/>
            <w:r>
              <w:rPr>
                <w:rFonts w:ascii="游明朝" w:hAnsi="游明朝" w:eastAsia="游明朝"/>
                <w:b w:val="0"/>
                <w:color w:val="23301F"/>
                <w:sz w:val="21"/>
              </w:rPr>
              <w:t>一つ目は、違いを意識しすぎると、相手との間に壁ができてしまうからである。家の宗教などの事情を深く考えるより、まず一緒に遊ぶ経験こそが、相手を自然に受け入れる力になる。事情を知ることも大切だが、それを理由に距離を置けば、互いを知る機会そのものが失われてしまう。違いへの理解は、一緒に過ごす中で後から育っていくもの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171字</w:t>
            </w:r>
          </w:p>
        </w:tc>
        <w:tc>
          <w:tcPr>
            <w:tcW w:type="dxa" w:w="8277"/>
            <w:vAlign w:val="center"/>
          </w:tcPr>
          <w:p>
            <w:pPr>
              <w:spacing w:after="0" w:line="288" w:lineRule="auto"/>
            </w:pPr>
            <w:r/>
            <w:r>
              <w:rPr>
                <w:rFonts w:ascii="游明朝" w:hAnsi="游明朝" w:eastAsia="游明朝"/>
                <w:b w:val="0"/>
                <w:color w:val="23301F"/>
                <w:sz w:val="21"/>
              </w:rPr>
              <w:t>二つ目は、大人の事情が子どもの関係を壊してしまうからである。私が小学生の頃、「あの家には近づいてはいけない、遊んではいけない」と大人が子どもに言ったという話を聞いたことがある。遊びを禁じられた子は、一緒に遊びたかったにもかかわらず、それができなかった。当時の私は、親の宗教のせいで子どもまで巻き込まれるのは、とてもかわいそうで残酷だと感じた。</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92字</w:t>
            </w:r>
          </w:p>
        </w:tc>
        <w:tc>
          <w:tcPr>
            <w:tcW w:type="dxa" w:w="8277"/>
            <w:vAlign w:val="center"/>
          </w:tcPr>
          <w:p>
            <w:pPr>
              <w:spacing w:after="0" w:line="288" w:lineRule="auto"/>
            </w:pPr>
            <w:r/>
            <w:r>
              <w:rPr>
                <w:rFonts w:ascii="游明朝" w:hAnsi="游明朝" w:eastAsia="游明朝"/>
                <w:b w:val="0"/>
                <w:color w:val="23301F"/>
                <w:sz w:val="21"/>
              </w:rPr>
              <w:t>以上より、想像力は相手を分けるためではなく、みんなで「いま」を楽しむために使うべきである。私は教育学科で学び、事情の違いに関係なく、どの子も一緒に過ごせる学級をつくれる教員になりたい。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体験の題材（大人の事情で子どもが分けられる）は、まさに教育の場で教員が向き合う問題である。結論で「教員として子どもたちをつなぐ」視点を示せば、教育学科で学ぶ意欲がはっきり伝わる。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　https://contact.kokushikan.ac.jp/faculty/Letters/about/file/Letters_education_AP.pdf（本文未確認）</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理由は課題文の言い換えでなく、「なぜそう言えるか」を自分の言葉で書く</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体験は、それが理由の根拠になるよう、理由のすぐ後に置く</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結論の最後の一文は、教育学科での学び・なりたい教員像につなげる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