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Layout w:type="fixed"/>
        <w:tblLook w:firstColumn="1" w:firstRow="1" w:lastColumn="0" w:lastRow="0" w:noHBand="0" w:noVBand="1" w:val="04A0"/>
      </w:tblPr>
      <w:tblGrid>
        <w:gridCol w:w="6237"/>
        <w:gridCol w:w="3402"/>
      </w:tblGrid>
      <w:tr>
        <w:tc>
          <w:tcPr>
            <w:tcW w:type="dxa" w:w="6236"/>
            <w:shd w:val="clear" w:color="auto" w:fill="2C5F2D"/>
            <w:vAlign w:val="center"/>
          </w:tcPr>
          <w:p>
            <w:pPr>
              <w:spacing w:after="0" w:line="288" w:lineRule="auto"/>
            </w:pPr>
            <w:r/>
            <w:r>
              <w:rPr>
                <w:rFonts w:ascii="游ゴシック" w:hAnsi="游ゴシック" w:eastAsia="游ゴシック"/>
                <w:b/>
                <w:color w:val="FFFFFF"/>
                <w:sz w:val="40"/>
              </w:rPr>
              <w:t>小論文 添削シート</w:t>
            </w:r>
          </w:p>
        </w:tc>
        <w:tc>
          <w:tcPr>
            <w:tcW w:type="dxa" w:w="3402"/>
            <w:shd w:val="clear" w:color="auto" w:fill="2C5F2D"/>
            <w:vAlign w:val="center"/>
          </w:tcPr>
          <w:p>
            <w:pPr>
              <w:spacing w:after="0" w:line="288" w:lineRule="auto"/>
              <w:jc w:val="right"/>
            </w:pPr>
            <w:r/>
            <w:r>
              <w:rPr>
                <w:rFonts w:ascii="游ゴシック" w:hAnsi="游ゴシック" w:eastAsia="游ゴシック"/>
                <w:b/>
                <w:color w:val="FFFFFF"/>
                <w:sz w:val="21"/>
              </w:rPr>
              <w:t>2026-10-17</w:t>
            </w:r>
          </w:p>
          <w:p>
            <w:pPr>
              <w:spacing w:after="0" w:line="288" w:lineRule="auto"/>
            </w:pPr>
            <w:r>
              <w:rPr>
                <w:rFonts w:ascii="游ゴシック" w:hAnsi="游ゴシック" w:eastAsia="游ゴシック"/>
                <w:b/>
                <w:color w:val="FFFFFF"/>
                <w:sz w:val="21"/>
              </w:rPr>
              <w:t>石川陽太</w:t>
            </w:r>
          </w:p>
        </w:tc>
      </w:tr>
    </w:tbl>
    <w:p>
      <w:pPr>
        <w:spacing w:after="40" w:before="0" w:line="300" w:lineRule="auto"/>
      </w:pP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134"/>
        <w:gridCol w:w="8505"/>
      </w:tblGrid>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志望</w:t>
            </w:r>
          </w:p>
        </w:tc>
        <w:tc>
          <w:tcPr>
            <w:tcW w:type="dxa" w:w="8504"/>
            <w:vAlign w:val="center"/>
          </w:tcPr>
          <w:p>
            <w:pPr>
              <w:spacing w:after="0" w:line="288" w:lineRule="auto"/>
            </w:pPr>
            <w:r/>
            <w:r>
              <w:rPr>
                <w:rFonts w:ascii="游ゴシック" w:hAnsi="游ゴシック" w:eastAsia="游ゴシック"/>
                <w:b w:val="0"/>
                <w:color w:val="23301F"/>
                <w:sz w:val="20"/>
              </w:rPr>
              <w:t>国士舘大学 文学部 教育学科 総合型選抜 令和8年度 Ⅱ期（12月14日）</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題材</w:t>
            </w:r>
          </w:p>
        </w:tc>
        <w:tc>
          <w:tcPr>
            <w:tcW w:type="dxa" w:w="8504"/>
            <w:vAlign w:val="center"/>
          </w:tcPr>
          <w:p>
            <w:pPr>
              <w:spacing w:after="0" w:line="288" w:lineRule="auto"/>
            </w:pPr>
            <w:r/>
            <w:r>
              <w:rPr>
                <w:rFonts w:ascii="游ゴシック" w:hAnsi="游ゴシック" w:eastAsia="游ゴシック"/>
                <w:b w:val="0"/>
                <w:color w:val="23301F"/>
                <w:sz w:val="20"/>
              </w:rPr>
              <w:t>学校の勉強の意味　／　伽古屋圭市『クロワッサン学習塾』</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設問</w:t>
            </w:r>
          </w:p>
        </w:tc>
        <w:tc>
          <w:tcPr>
            <w:tcW w:type="dxa" w:w="8504"/>
            <w:vAlign w:val="center"/>
          </w:tcPr>
          <w:p>
            <w:pPr>
              <w:spacing w:after="0" w:line="288" w:lineRule="auto"/>
            </w:pPr>
            <w:r/>
            <w:r>
              <w:rPr>
                <w:rFonts w:ascii="游ゴシック" w:hAnsi="游ゴシック" w:eastAsia="游ゴシック"/>
                <w:b w:val="0"/>
                <w:color w:val="23301F"/>
                <w:sz w:val="20"/>
              </w:rPr>
              <w:t>「学校の勉強」に対する「わたし」の考えに触れた上で、あなたは「学校の勉強」の意味をどのように考えているか、自身の経験や見聞きしたことを交えて600字で論述しなさい。</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字数</w:t>
            </w:r>
          </w:p>
        </w:tc>
        <w:tc>
          <w:tcPr>
            <w:tcW w:type="dxa" w:w="8504"/>
            <w:vAlign w:val="center"/>
          </w:tcPr>
          <w:p>
            <w:pPr>
              <w:spacing w:after="0" w:line="288" w:lineRule="auto"/>
            </w:pPr>
            <w:r/>
            <w:r>
              <w:rPr>
                <w:rFonts w:ascii="游ゴシック" w:hAnsi="游ゴシック" w:eastAsia="游ゴシック"/>
                <w:b w:val="0"/>
                <w:color w:val="23301F"/>
                <w:sz w:val="20"/>
              </w:rPr>
              <w:t>制限 600字以内　→　答案 545字（規定の範囲内）</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評価</w:t>
      </w:r>
    </w:p>
    <w:p>
      <w:pPr>
        <w:spacing w:after="80" w:before="0" w:line="300" w:lineRule="auto"/>
      </w:pPr>
      <w:r>
        <w:rPr>
          <w:rFonts w:ascii="游ゴシック" w:hAnsi="游ゴシック" w:eastAsia="游ゴシック"/>
          <w:b/>
          <w:color w:val="17321A"/>
          <w:sz w:val="24"/>
        </w:rPr>
        <w:t xml:space="preserve">総合 </w:t>
      </w:r>
      <w:r>
        <w:rPr>
          <w:rFonts w:ascii="游ゴシック" w:hAnsi="游ゴシック" w:eastAsia="游ゴシック"/>
          <w:b/>
          <w:color w:val="D9782D"/>
          <w:sz w:val="56"/>
        </w:rPr>
        <w:t>73</w:t>
      </w:r>
      <w:r>
        <w:rPr>
          <w:rFonts w:ascii="游ゴシック" w:hAnsi="游ゴシック" w:eastAsia="游ゴシック"/>
          <w:b/>
          <w:color w:val="17321A"/>
          <w:sz w:val="24"/>
        </w:rPr>
        <w:t xml:space="preserve"> / 100点</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2154"/>
        <w:gridCol w:w="1134"/>
        <w:gridCol w:w="6350"/>
      </w:tblGrid>
      <w:tr>
        <w:tc>
          <w:tcPr>
            <w:tcW w:type="dxa" w:w="2154"/>
            <w:shd w:val="clear" w:color="auto" w:fill="2C5F2D"/>
            <w:vAlign w:val="center"/>
          </w:tcPr>
          <w:p>
            <w:pPr>
              <w:spacing w:after="0" w:line="288" w:lineRule="auto"/>
              <w:jc w:val="center"/>
            </w:pPr>
            <w:r/>
            <w:r>
              <w:rPr>
                <w:rFonts w:ascii="游ゴシック" w:hAnsi="游ゴシック" w:eastAsia="游ゴシック"/>
                <w:b/>
                <w:color w:val="FFFFFF"/>
                <w:sz w:val="19"/>
              </w:rPr>
              <w:t>観点</w:t>
            </w:r>
          </w:p>
        </w:tc>
        <w:tc>
          <w:tcPr>
            <w:tcW w:type="dxa" w:w="1134"/>
            <w:shd w:val="clear" w:color="auto" w:fill="2C5F2D"/>
            <w:vAlign w:val="center"/>
          </w:tcPr>
          <w:p>
            <w:pPr>
              <w:spacing w:after="0" w:line="288" w:lineRule="auto"/>
              <w:jc w:val="center"/>
            </w:pPr>
            <w:r/>
            <w:r>
              <w:rPr>
                <w:rFonts w:ascii="游ゴシック" w:hAnsi="游ゴシック" w:eastAsia="游ゴシック"/>
                <w:b/>
                <w:color w:val="FFFFFF"/>
                <w:sz w:val="19"/>
              </w:rPr>
              <w:t>得点</w:t>
            </w:r>
          </w:p>
        </w:tc>
        <w:tc>
          <w:tcPr>
            <w:tcW w:type="dxa" w:w="6350"/>
            <w:shd w:val="clear" w:color="auto" w:fill="2C5F2D"/>
            <w:vAlign w:val="center"/>
          </w:tcPr>
          <w:p>
            <w:pPr>
              <w:spacing w:after="0" w:line="288" w:lineRule="auto"/>
              <w:jc w:val="center"/>
            </w:pPr>
            <w:r/>
            <w:r>
              <w:rPr>
                <w:rFonts w:ascii="游ゴシック" w:hAnsi="游ゴシック" w:eastAsia="游ゴシック"/>
                <w:b/>
                <w:color w:val="FFFFFF"/>
                <w:sz w:val="19"/>
              </w:rPr>
              <w:t>コメント</w:t>
            </w:r>
          </w:p>
        </w:tc>
      </w:tr>
      <w:tr>
        <w:tc>
          <w:tcPr>
            <w:tcW w:type="dxa" w:w="2154"/>
            <w:vAlign w:val="center"/>
          </w:tcPr>
          <w:p>
            <w:pPr>
              <w:spacing w:after="0" w:line="288" w:lineRule="auto"/>
            </w:pPr>
            <w:r/>
            <w:r>
              <w:rPr>
                <w:rFonts w:ascii="游ゴシック" w:hAnsi="游ゴシック" w:eastAsia="游ゴシック"/>
                <w:b/>
                <w:color w:val="17321A"/>
                <w:sz w:val="19"/>
              </w:rPr>
              <w:t>設問への応答</w:t>
            </w:r>
          </w:p>
        </w:tc>
        <w:tc>
          <w:tcPr>
            <w:tcW w:type="dxa" w:w="1134"/>
            <w:vAlign w:val="center"/>
          </w:tcPr>
          <w:p>
            <w:pPr>
              <w:spacing w:after="0" w:line="288" w:lineRule="auto"/>
              <w:jc w:val="center"/>
            </w:pPr>
            <w:r/>
            <w:r>
              <w:rPr>
                <w:rFonts w:ascii="游ゴシック" w:hAnsi="游ゴシック" w:eastAsia="游ゴシック"/>
                <w:b/>
                <w:color w:val="D9782D"/>
                <w:sz w:val="22"/>
              </w:rPr>
              <w:t>16 / 20</w:t>
            </w:r>
          </w:p>
        </w:tc>
        <w:tc>
          <w:tcPr>
            <w:tcW w:type="dxa" w:w="6350"/>
            <w:vAlign w:val="center"/>
          </w:tcPr>
          <w:p>
            <w:pPr>
              <w:spacing w:after="0" w:line="288" w:lineRule="auto"/>
            </w:pPr>
            <w:r/>
            <w:r>
              <w:rPr>
                <w:rFonts w:ascii="游ゴシック" w:hAnsi="游ゴシック" w:eastAsia="游ゴシック"/>
                <w:b w:val="0"/>
                <w:color w:val="23301F"/>
                <w:sz w:val="19"/>
              </w:rPr>
              <w:t>「わたし」の考えに触れ、学校の勉強の意味を自分の言葉で示し、経験も交えている。設問の三つの条件をすべて満たせている。</w:t>
            </w:r>
          </w:p>
        </w:tc>
      </w:tr>
      <w:tr>
        <w:tc>
          <w:tcPr>
            <w:tcW w:type="dxa" w:w="2154"/>
            <w:vAlign w:val="center"/>
          </w:tcPr>
          <w:p>
            <w:pPr>
              <w:spacing w:after="0" w:line="288" w:lineRule="auto"/>
            </w:pPr>
            <w:r/>
            <w:r>
              <w:rPr>
                <w:rFonts w:ascii="游ゴシック" w:hAnsi="游ゴシック" w:eastAsia="游ゴシック"/>
                <w:b/>
                <w:color w:val="17321A"/>
                <w:sz w:val="19"/>
              </w:rPr>
              <w:t>構成・論理</w:t>
            </w:r>
          </w:p>
        </w:tc>
        <w:tc>
          <w:tcPr>
            <w:tcW w:type="dxa" w:w="1134"/>
            <w:vAlign w:val="center"/>
          </w:tcPr>
          <w:p>
            <w:pPr>
              <w:spacing w:after="0" w:line="288" w:lineRule="auto"/>
              <w:jc w:val="center"/>
            </w:pPr>
            <w:r/>
            <w:r>
              <w:rPr>
                <w:rFonts w:ascii="游ゴシック" w:hAnsi="游ゴシック" w:eastAsia="游ゴシック"/>
                <w:b/>
                <w:color w:val="D9782D"/>
                <w:sz w:val="22"/>
              </w:rPr>
              <w:t>15 / 20</w:t>
            </w:r>
          </w:p>
        </w:tc>
        <w:tc>
          <w:tcPr>
            <w:tcW w:type="dxa" w:w="6350"/>
            <w:vAlign w:val="center"/>
          </w:tcPr>
          <w:p>
            <w:pPr>
              <w:spacing w:after="0" w:line="288" w:lineRule="auto"/>
            </w:pPr>
            <w:r/>
            <w:r>
              <w:rPr>
                <w:rFonts w:ascii="游ゴシック" w:hAnsi="游ゴシック" w:eastAsia="游ゴシック"/>
                <w:b w:val="0"/>
                <w:color w:val="23301F"/>
                <w:sz w:val="19"/>
              </w:rPr>
              <w:t>要約→問い→主張→理由・体験→結論と、筋の通った構成。理由と体験が一つの段落に入っていて長いので、分けるとさらに読みやすい。</w:t>
            </w:r>
          </w:p>
        </w:tc>
      </w:tr>
      <w:tr>
        <w:tc>
          <w:tcPr>
            <w:tcW w:type="dxa" w:w="2154"/>
            <w:vAlign w:val="center"/>
          </w:tcPr>
          <w:p>
            <w:pPr>
              <w:spacing w:after="0" w:line="288" w:lineRule="auto"/>
            </w:pPr>
            <w:r/>
            <w:r>
              <w:rPr>
                <w:rFonts w:ascii="游ゴシック" w:hAnsi="游ゴシック" w:eastAsia="游ゴシック"/>
                <w:b/>
                <w:color w:val="17321A"/>
                <w:sz w:val="19"/>
              </w:rPr>
              <w:t>根拠・具体性</w:t>
            </w:r>
          </w:p>
        </w:tc>
        <w:tc>
          <w:tcPr>
            <w:tcW w:type="dxa" w:w="1134"/>
            <w:vAlign w:val="center"/>
          </w:tcPr>
          <w:p>
            <w:pPr>
              <w:spacing w:after="0" w:line="288" w:lineRule="auto"/>
              <w:jc w:val="center"/>
            </w:pPr>
            <w:r/>
            <w:r>
              <w:rPr>
                <w:rFonts w:ascii="游ゴシック" w:hAnsi="游ゴシック" w:eastAsia="游ゴシック"/>
                <w:b/>
                <w:color w:val="D9782D"/>
                <w:sz w:val="22"/>
              </w:rPr>
              <w:t>15 / 20</w:t>
            </w:r>
          </w:p>
        </w:tc>
        <w:tc>
          <w:tcPr>
            <w:tcW w:type="dxa" w:w="6350"/>
            <w:vAlign w:val="center"/>
          </w:tcPr>
          <w:p>
            <w:pPr>
              <w:spacing w:after="0" w:line="288" w:lineRule="auto"/>
            </w:pPr>
            <w:r/>
            <w:r>
              <w:rPr>
                <w:rFonts w:ascii="游ゴシック" w:hAnsi="游ゴシック" w:eastAsia="游ゴシック"/>
                <w:b w:val="0"/>
                <w:color w:val="23301F"/>
                <w:sz w:val="19"/>
              </w:rPr>
              <w:t>中学校の班活動で、仲間の意見を共有して新しい発見があった・意欲が上がったという体験が、主張をしっかり支えている。</w:t>
            </w:r>
          </w:p>
        </w:tc>
      </w:tr>
      <w:tr>
        <w:tc>
          <w:tcPr>
            <w:tcW w:type="dxa" w:w="2154"/>
            <w:vAlign w:val="center"/>
          </w:tcPr>
          <w:p>
            <w:pPr>
              <w:spacing w:after="0" w:line="288" w:lineRule="auto"/>
            </w:pPr>
            <w:r/>
            <w:r>
              <w:rPr>
                <w:rFonts w:ascii="游ゴシック" w:hAnsi="游ゴシック" w:eastAsia="游ゴシック"/>
                <w:b/>
                <w:color w:val="17321A"/>
                <w:sz w:val="19"/>
              </w:rPr>
              <w:t>学部・アドミッションポリシーとの適合</w:t>
            </w:r>
          </w:p>
        </w:tc>
        <w:tc>
          <w:tcPr>
            <w:tcW w:type="dxa" w:w="1134"/>
            <w:vAlign w:val="center"/>
          </w:tcPr>
          <w:p>
            <w:pPr>
              <w:spacing w:after="0" w:line="288" w:lineRule="auto"/>
              <w:jc w:val="center"/>
            </w:pPr>
            <w:r/>
            <w:r>
              <w:rPr>
                <w:rFonts w:ascii="游ゴシック" w:hAnsi="游ゴシック" w:eastAsia="游ゴシック"/>
                <w:b/>
                <w:color w:val="D9782D"/>
                <w:sz w:val="22"/>
              </w:rPr>
              <w:t>16 / 20</w:t>
            </w:r>
          </w:p>
        </w:tc>
        <w:tc>
          <w:tcPr>
            <w:tcW w:type="dxa" w:w="6350"/>
            <w:vAlign w:val="center"/>
          </w:tcPr>
          <w:p>
            <w:pPr>
              <w:spacing w:after="0" w:line="288" w:lineRule="auto"/>
            </w:pPr>
            <w:r/>
            <w:r>
              <w:rPr>
                <w:rFonts w:ascii="游ゴシック" w:hAnsi="游ゴシック" w:eastAsia="游ゴシック"/>
                <w:b w:val="0"/>
                <w:color w:val="23301F"/>
                <w:sz w:val="19"/>
              </w:rPr>
              <w:t>「将来教員になったら、話し合う授業や交流する場面を多くつくりたい」と、教員としての目標で締められている。教育学科の志望理由が伝わる。</w:t>
            </w:r>
          </w:p>
        </w:tc>
      </w:tr>
      <w:tr>
        <w:tc>
          <w:tcPr>
            <w:tcW w:type="dxa" w:w="2154"/>
            <w:vAlign w:val="center"/>
          </w:tcPr>
          <w:p>
            <w:pPr>
              <w:spacing w:after="0" w:line="288" w:lineRule="auto"/>
            </w:pPr>
            <w:r/>
            <w:r>
              <w:rPr>
                <w:rFonts w:ascii="游ゴシック" w:hAnsi="游ゴシック" w:eastAsia="游ゴシック"/>
                <w:b/>
                <w:color w:val="17321A"/>
                <w:sz w:val="19"/>
              </w:rPr>
              <w:t>表現・表記</w:t>
            </w:r>
          </w:p>
        </w:tc>
        <w:tc>
          <w:tcPr>
            <w:tcW w:type="dxa" w:w="1134"/>
            <w:vAlign w:val="center"/>
          </w:tcPr>
          <w:p>
            <w:pPr>
              <w:spacing w:after="0" w:line="288" w:lineRule="auto"/>
              <w:jc w:val="center"/>
            </w:pPr>
            <w:r/>
            <w:r>
              <w:rPr>
                <w:rFonts w:ascii="游ゴシック" w:hAnsi="游ゴシック" w:eastAsia="游ゴシック"/>
                <w:b/>
                <w:color w:val="D9782D"/>
                <w:sz w:val="22"/>
              </w:rPr>
              <w:t>11 / 20</w:t>
            </w:r>
          </w:p>
        </w:tc>
        <w:tc>
          <w:tcPr>
            <w:tcW w:type="dxa" w:w="6350"/>
            <w:vAlign w:val="center"/>
          </w:tcPr>
          <w:p>
            <w:pPr>
              <w:spacing w:after="0" w:line="288" w:lineRule="auto"/>
            </w:pPr>
            <w:r/>
            <w:r>
              <w:rPr>
                <w:rFonts w:ascii="游ゴシック" w:hAnsi="游ゴシック" w:eastAsia="游ゴシック"/>
                <w:b w:val="0"/>
                <w:color w:val="23301F"/>
                <w:sz w:val="19"/>
              </w:rPr>
              <w:t>要約の「学ぶことが将来の選択肢として使う時が来る」がねじれ文。「話し合う授業」「授業で」の重複、「モチベーションややる気」の重複など、直せる箇所が多い。字数は545字。</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総評</w:t>
      </w:r>
    </w:p>
    <w:p>
      <w:pPr>
        <w:spacing w:after="80" w:before="0" w:line="300" w:lineRule="auto"/>
      </w:pPr>
      <w:r>
        <w:rPr>
          <w:rFonts w:ascii="游ゴシック" w:hAnsi="游ゴシック" w:eastAsia="游ゴシック"/>
          <w:b w:val="0"/>
          <w:color w:val="23301F"/>
          <w:sz w:val="21"/>
        </w:rPr>
        <w:t>【前提】設問文と字数（600字）は大学公式の過去問で確認した。続きのページを含む全文で評価した。4本の中でいちばん完成度の高い答案である。設問の条件（「わたし」の考えに触れる・自分の考え・経験）をすべて満たし、班活動の体験から「学校の勉強の意味」を導き、最後は教員としての目標で締められている。あとは表現の直しだけで点数が伸びる。要約のねじれ文、同じ言葉の重なり（授業・モチベーションとやる気）を直し、理由と体験の段落を分ければ、80点台が狙え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良かったところ</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設問の三つの条件（「わたし」の考え・自分の考え・経験）をすべて満たしている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「『学校の勉強』の意味とは何なのだろうか」と問いを立て、すぐに自分の答えを示している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班のメンバーと意見を共有して新しい発見があったという、主張を支える具体的な体験がある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将来教員として話し合う授業をつくりたいと、教育学科につながる結論で締めている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直すと伸びるところ</w:t>
      </w:r>
    </w:p>
    <w:p>
      <w:pPr>
        <w:spacing w:after="20" w:before="60" w:line="300" w:lineRule="auto"/>
      </w:pPr>
      <w:r>
        <w:rPr>
          <w:rFonts w:ascii="游ゴシック" w:hAnsi="游ゴシック" w:eastAsia="游ゴシック"/>
          <w:b/>
          <w:color w:val="17321A"/>
          <w:sz w:val="21"/>
        </w:rPr>
        <w:t>1. 要約のねじれ文を直す</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「学ぶことが将来の選択肢として使う時が来る。」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主語と述語が合っていない。「学ぶことの価値を知った人は、将来の選択や人生の危機に直面したときに、その力に助けられる」のように、主語と述語をそろえる。</w:t>
      </w:r>
    </w:p>
    <w:p>
      <w:pPr>
        <w:spacing w:after="20" w:before="60" w:line="300" w:lineRule="auto"/>
      </w:pPr>
      <w:r>
        <w:rPr>
          <w:rFonts w:ascii="游ゴシック" w:hAnsi="游ゴシック" w:eastAsia="游ゴシック"/>
          <w:b/>
          <w:color w:val="17321A"/>
          <w:sz w:val="21"/>
        </w:rPr>
        <w:t>2. 結論の文を整理する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「それは生徒同士のコミュニケーションにより、さまざまな意見を交流しより深めることができる。」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「それは〜できる」でねじれている。「学校の勉強の意味は、生徒同士の対話を通して、さまざまな意見に触れ、考えを深められる点にある」と一文にまとめる。</w:t>
      </w:r>
    </w:p>
    <w:p>
      <w:pPr>
        <w:spacing w:after="20" w:before="60" w:line="300" w:lineRule="auto"/>
      </w:pPr>
      <w:r>
        <w:rPr>
          <w:rFonts w:ascii="游ゴシック" w:hAnsi="游ゴシック" w:eastAsia="游ゴシック"/>
          <w:b/>
          <w:color w:val="17321A"/>
          <w:sz w:val="21"/>
        </w:rPr>
        <w:t>3. 同じ言葉の重なりを減らす</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「将来教員になった際授業で話し合う授業や交流する場面を多く作っていきたい」</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「授業」が二回出てくる。「将来教員になり、生徒同士が話し合い、交流できる授業を多くつくっていきたい」とする。</w:t>
      </w:r>
    </w:p>
    <w:p>
      <w:pPr>
        <w:spacing w:after="20" w:before="60" w:line="300" w:lineRule="auto"/>
      </w:pPr>
      <w:r>
        <w:rPr>
          <w:rFonts w:ascii="游ゴシック" w:hAnsi="游ゴシック" w:eastAsia="游ゴシック"/>
          <w:b/>
          <w:color w:val="17321A"/>
          <w:sz w:val="21"/>
        </w:rPr>
        <w:t>4. 理由と体験の段落を分ける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第3段落に理由と体験が一緒に入り、約250字と長い。「その理由は〜」と「私にもこのような経験がある」で段落を分けると、構成がよりはっきりする。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あなたの答案（545字）</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序論</w:t>
            </w:r>
          </w:p>
          <w:p>
            <w:pPr>
              <w:spacing w:after="0" w:line="288" w:lineRule="auto"/>
            </w:pPr>
            <w:r>
              <w:rPr>
                <w:rFonts w:ascii="游ゴシック" w:hAnsi="游ゴシック" w:eastAsia="游ゴシック"/>
                <w:b/>
                <w:color w:val="2C5F2D"/>
                <w:sz w:val="19"/>
              </w:rPr>
              <w:t>122字</w:t>
            </w:r>
          </w:p>
        </w:tc>
        <w:tc>
          <w:tcPr>
            <w:tcW w:type="dxa" w:w="8277"/>
            <w:vAlign w:val="center"/>
          </w:tcPr>
          <w:p>
            <w:pPr>
              <w:spacing w:after="0" w:line="288" w:lineRule="auto"/>
            </w:pPr>
            <w:r/>
            <w:r>
              <w:rPr>
                <w:rFonts w:ascii="游明朝" w:hAnsi="游明朝" w:eastAsia="游明朝"/>
                <w:b w:val="0"/>
                <w:color w:val="23301F"/>
                <w:sz w:val="21"/>
              </w:rPr>
              <w:t>「わたし」の学校の勉強の考えは、学生のうちにおこなう勉強は目次をつくる作業であり、勉強のやり方を学ぶことだと思っている。また、学ぶことの価値を知り、学ぶことが将来の選択肢として使う時が来る。人生の危機に陥ったときにも必ず助けになると考えてい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主張</w:t>
            </w:r>
          </w:p>
          <w:p>
            <w:pPr>
              <w:spacing w:after="0" w:line="288" w:lineRule="auto"/>
            </w:pPr>
            <w:r>
              <w:rPr>
                <w:rFonts w:ascii="游ゴシック" w:hAnsi="游ゴシック" w:eastAsia="游ゴシック"/>
                <w:b/>
                <w:color w:val="2C5F2D"/>
                <w:sz w:val="19"/>
              </w:rPr>
              <w:t>46字</w:t>
            </w:r>
          </w:p>
        </w:tc>
        <w:tc>
          <w:tcPr>
            <w:tcW w:type="dxa" w:w="8277"/>
            <w:vAlign w:val="center"/>
          </w:tcPr>
          <w:p>
            <w:pPr>
              <w:spacing w:after="0" w:line="288" w:lineRule="auto"/>
            </w:pPr>
            <w:r/>
            <w:r>
              <w:rPr>
                <w:rFonts w:ascii="游明朝" w:hAnsi="游明朝" w:eastAsia="游明朝"/>
                <w:b w:val="0"/>
                <w:color w:val="23301F"/>
                <w:sz w:val="21"/>
              </w:rPr>
              <w:t>「学校の勉強」の意味とは何なのだろうか。私は、学校でしか学べないことが学べる点であると思う。</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本論</w:t>
            </w:r>
          </w:p>
          <w:p>
            <w:pPr>
              <w:spacing w:after="0" w:line="288" w:lineRule="auto"/>
            </w:pPr>
            <w:r>
              <w:rPr>
                <w:rFonts w:ascii="游ゴシック" w:hAnsi="游ゴシック" w:eastAsia="游ゴシック"/>
                <w:b/>
                <w:color w:val="2C5F2D"/>
                <w:sz w:val="19"/>
              </w:rPr>
              <w:t>249字</w:t>
            </w:r>
          </w:p>
        </w:tc>
        <w:tc>
          <w:tcPr>
            <w:tcW w:type="dxa" w:w="8277"/>
            <w:vAlign w:val="center"/>
          </w:tcPr>
          <w:p>
            <w:pPr>
              <w:spacing w:after="0" w:line="288" w:lineRule="auto"/>
            </w:pPr>
            <w:r/>
            <w:r>
              <w:rPr>
                <w:rFonts w:ascii="游明朝" w:hAnsi="游明朝" w:eastAsia="游明朝"/>
                <w:b w:val="0"/>
                <w:color w:val="23301F"/>
                <w:sz w:val="21"/>
              </w:rPr>
              <w:t>なぜなら、授業内での生徒同士のコミュニケーションがとれるからである。それは、家ではできないことである。加えて、授業を聞いた上で生徒同士で話し合うことにより、自分では思いつかなかった意見が出てきて深めることができる。私もこのようなことがあった。中学生の頃、班になって話し合う際に考えがほぼ思い浮かばなかった。しかし、班のメンバーと共有することにより、このような視点があるのかと新しい発見が多くあった。また、一人で家で勉強をするよりも、班で勉強をすることにより、モチベーションややる気が上がると感じた。</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128字</w:t>
            </w:r>
          </w:p>
        </w:tc>
        <w:tc>
          <w:tcPr>
            <w:tcW w:type="dxa" w:w="8277"/>
            <w:vAlign w:val="center"/>
          </w:tcPr>
          <w:p>
            <w:pPr>
              <w:spacing w:after="0" w:line="288" w:lineRule="auto"/>
            </w:pPr>
            <w:r/>
            <w:r>
              <w:rPr>
                <w:rFonts w:ascii="游明朝" w:hAnsi="游明朝" w:eastAsia="游明朝"/>
                <w:b w:val="0"/>
                <w:color w:val="23301F"/>
                <w:sz w:val="21"/>
              </w:rPr>
              <w:t>以上のことから、「学校の勉強」の意味とは学校に行かないと学べないことが学べることだ。それは生徒同士のコミュニケーションにより、さまざまな意見を交流しより深めることができる。私は、将来教員になった際授業で話し合う授業や交流する場面を多く作っていきたいと思う。</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表記・表現の直し</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3402"/>
        <w:gridCol w:w="3402"/>
        <w:gridCol w:w="2835"/>
      </w:tblGrid>
      <w:tr>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答案</w:t>
            </w:r>
          </w:p>
        </w:tc>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直し</w:t>
            </w:r>
          </w:p>
        </w:tc>
        <w:tc>
          <w:tcPr>
            <w:tcW w:type="dxa" w:w="2835"/>
            <w:shd w:val="clear" w:color="auto" w:fill="2C5F2D"/>
            <w:vAlign w:val="center"/>
          </w:tcPr>
          <w:p>
            <w:pPr>
              <w:spacing w:after="0" w:line="288" w:lineRule="auto"/>
              <w:jc w:val="center"/>
            </w:pPr>
            <w:r/>
            <w:r>
              <w:rPr>
                <w:rFonts w:ascii="游ゴシック" w:hAnsi="游ゴシック" w:eastAsia="游ゴシック"/>
                <w:b/>
                <w:color w:val="FFFFFF"/>
                <w:sz w:val="19"/>
              </w:rPr>
              <w:t>理由</w:t>
            </w:r>
          </w:p>
        </w:tc>
      </w:tr>
      <w:tr>
        <w:tc>
          <w:tcPr>
            <w:tcW w:type="dxa" w:w="3402"/>
            <w:vAlign w:val="center"/>
          </w:tcPr>
          <w:p>
            <w:pPr>
              <w:spacing w:after="0" w:line="288" w:lineRule="auto"/>
            </w:pPr>
            <w:r/>
            <w:r>
              <w:rPr>
                <w:rFonts w:ascii="游明朝" w:hAnsi="游明朝" w:eastAsia="游明朝"/>
                <w:b w:val="0"/>
                <w:color w:val="23301F"/>
                <w:sz w:val="19"/>
              </w:rPr>
              <w:t>「わたし」の学校の勉強の考えは、</w:t>
            </w:r>
          </w:p>
        </w:tc>
        <w:tc>
          <w:tcPr>
            <w:tcW w:type="dxa" w:w="3402"/>
            <w:vAlign w:val="center"/>
          </w:tcPr>
          <w:p>
            <w:pPr>
              <w:spacing w:after="0" w:line="288" w:lineRule="auto"/>
            </w:pPr>
            <w:r/>
            <w:r>
              <w:rPr>
                <w:rFonts w:ascii="游明朝" w:hAnsi="游明朝" w:eastAsia="游明朝"/>
                <w:b/>
                <w:color w:val="2C5F2D"/>
                <w:sz w:val="19"/>
              </w:rPr>
              <w:t>「わたし」は、学校の勉強について、</w:t>
            </w:r>
          </w:p>
        </w:tc>
        <w:tc>
          <w:tcPr>
            <w:tcW w:type="dxa" w:w="2835"/>
            <w:vAlign w:val="center"/>
          </w:tcPr>
          <w:p>
            <w:pPr>
              <w:spacing w:after="0" w:line="288" w:lineRule="auto"/>
            </w:pPr>
            <w:r/>
            <w:r>
              <w:rPr>
                <w:rFonts w:ascii="游ゴシック" w:hAnsi="游ゴシック" w:eastAsia="游ゴシック"/>
                <w:b w:val="0"/>
                <w:color w:val="23301F"/>
                <w:sz w:val="18"/>
              </w:rPr>
              <w:t>「の」が続き読みにくい</w:t>
            </w:r>
          </w:p>
        </w:tc>
      </w:tr>
      <w:tr>
        <w:tc>
          <w:tcPr>
            <w:tcW w:type="dxa" w:w="3402"/>
            <w:vAlign w:val="center"/>
          </w:tcPr>
          <w:p>
            <w:pPr>
              <w:spacing w:after="0" w:line="288" w:lineRule="auto"/>
            </w:pPr>
            <w:r/>
            <w:r>
              <w:rPr>
                <w:rFonts w:ascii="游明朝" w:hAnsi="游明朝" w:eastAsia="游明朝"/>
                <w:b w:val="0"/>
                <w:color w:val="23301F"/>
                <w:sz w:val="19"/>
              </w:rPr>
              <w:t>勉強のやり方を学ぶことだと思っている。</w:t>
            </w:r>
          </w:p>
        </w:tc>
        <w:tc>
          <w:tcPr>
            <w:tcW w:type="dxa" w:w="3402"/>
            <w:vAlign w:val="center"/>
          </w:tcPr>
          <w:p>
            <w:pPr>
              <w:spacing w:after="0" w:line="288" w:lineRule="auto"/>
            </w:pPr>
            <w:r/>
            <w:r>
              <w:rPr>
                <w:rFonts w:ascii="游明朝" w:hAnsi="游明朝" w:eastAsia="游明朝"/>
                <w:b/>
                <w:color w:val="2C5F2D"/>
                <w:sz w:val="19"/>
              </w:rPr>
              <w:t>勉強のやり方を身につけることだと考えている。</w:t>
            </w:r>
          </w:p>
        </w:tc>
        <w:tc>
          <w:tcPr>
            <w:tcW w:type="dxa" w:w="2835"/>
            <w:vAlign w:val="center"/>
          </w:tcPr>
          <w:p>
            <w:pPr>
              <w:spacing w:after="0" w:line="288" w:lineRule="auto"/>
            </w:pPr>
            <w:r/>
            <w:r>
              <w:rPr>
                <w:rFonts w:ascii="游ゴシック" w:hAnsi="游ゴシック" w:eastAsia="游ゴシック"/>
                <w:b w:val="0"/>
                <w:color w:val="23301F"/>
                <w:sz w:val="18"/>
              </w:rPr>
              <w:t>要約では「〜と考えている」「〜と述べている」と書く</w:t>
            </w:r>
          </w:p>
        </w:tc>
      </w:tr>
      <w:tr>
        <w:tc>
          <w:tcPr>
            <w:tcW w:type="dxa" w:w="3402"/>
            <w:vAlign w:val="center"/>
          </w:tcPr>
          <w:p>
            <w:pPr>
              <w:spacing w:after="0" w:line="288" w:lineRule="auto"/>
            </w:pPr>
            <w:r/>
            <w:r>
              <w:rPr>
                <w:rFonts w:ascii="游明朝" w:hAnsi="游明朝" w:eastAsia="游明朝"/>
                <w:b w:val="0"/>
                <w:color w:val="23301F"/>
                <w:sz w:val="19"/>
              </w:rPr>
              <w:t>学ぶことの価値を知り、学ぶことが将来の選択肢として使う時が来る。</w:t>
            </w:r>
          </w:p>
        </w:tc>
        <w:tc>
          <w:tcPr>
            <w:tcW w:type="dxa" w:w="3402"/>
            <w:vAlign w:val="center"/>
          </w:tcPr>
          <w:p>
            <w:pPr>
              <w:spacing w:after="0" w:line="288" w:lineRule="auto"/>
            </w:pPr>
            <w:r/>
            <w:r>
              <w:rPr>
                <w:rFonts w:ascii="游明朝" w:hAnsi="游明朝" w:eastAsia="游明朝"/>
                <w:b/>
                <w:color w:val="2C5F2D"/>
                <w:sz w:val="19"/>
              </w:rPr>
              <w:t>学ぶことの価値を知った人は、将来の選択に直面したときに、その力に助けられる。</w:t>
            </w:r>
          </w:p>
        </w:tc>
        <w:tc>
          <w:tcPr>
            <w:tcW w:type="dxa" w:w="2835"/>
            <w:vAlign w:val="center"/>
          </w:tcPr>
          <w:p>
            <w:pPr>
              <w:spacing w:after="0" w:line="288" w:lineRule="auto"/>
            </w:pPr>
            <w:r/>
            <w:r>
              <w:rPr>
                <w:rFonts w:ascii="游ゴシック" w:hAnsi="游ゴシック" w:eastAsia="游ゴシック"/>
                <w:b w:val="0"/>
                <w:color w:val="23301F"/>
                <w:sz w:val="18"/>
              </w:rPr>
              <w:t>ねじれ文</w:t>
            </w:r>
          </w:p>
        </w:tc>
      </w:tr>
      <w:tr>
        <w:tc>
          <w:tcPr>
            <w:tcW w:type="dxa" w:w="3402"/>
            <w:vAlign w:val="center"/>
          </w:tcPr>
          <w:p>
            <w:pPr>
              <w:spacing w:after="0" w:line="288" w:lineRule="auto"/>
            </w:pPr>
            <w:r/>
            <w:r>
              <w:rPr>
                <w:rFonts w:ascii="游明朝" w:hAnsi="游明朝" w:eastAsia="游明朝"/>
                <w:b w:val="0"/>
                <w:color w:val="23301F"/>
                <w:sz w:val="19"/>
              </w:rPr>
              <w:t>モチベーションややる気が上がる</w:t>
            </w:r>
          </w:p>
        </w:tc>
        <w:tc>
          <w:tcPr>
            <w:tcW w:type="dxa" w:w="3402"/>
            <w:vAlign w:val="center"/>
          </w:tcPr>
          <w:p>
            <w:pPr>
              <w:spacing w:after="0" w:line="288" w:lineRule="auto"/>
            </w:pPr>
            <w:r/>
            <w:r>
              <w:rPr>
                <w:rFonts w:ascii="游明朝" w:hAnsi="游明朝" w:eastAsia="游明朝"/>
                <w:b/>
                <w:color w:val="2C5F2D"/>
                <w:sz w:val="19"/>
              </w:rPr>
              <w:t>意欲が高まる</w:t>
            </w:r>
          </w:p>
        </w:tc>
        <w:tc>
          <w:tcPr>
            <w:tcW w:type="dxa" w:w="2835"/>
            <w:vAlign w:val="center"/>
          </w:tcPr>
          <w:p>
            <w:pPr>
              <w:spacing w:after="0" w:line="288" w:lineRule="auto"/>
            </w:pPr>
            <w:r/>
            <w:r>
              <w:rPr>
                <w:rFonts w:ascii="游ゴシック" w:hAnsi="游ゴシック" w:eastAsia="游ゴシック"/>
                <w:b w:val="0"/>
                <w:color w:val="23301F"/>
                <w:sz w:val="18"/>
              </w:rPr>
              <w:t>「モチベーション」と「やる気」は同じ意味</w:t>
            </w:r>
          </w:p>
        </w:tc>
      </w:tr>
      <w:tr>
        <w:tc>
          <w:tcPr>
            <w:tcW w:type="dxa" w:w="3402"/>
            <w:vAlign w:val="center"/>
          </w:tcPr>
          <w:p>
            <w:pPr>
              <w:spacing w:after="0" w:line="288" w:lineRule="auto"/>
            </w:pPr>
            <w:r/>
            <w:r>
              <w:rPr>
                <w:rFonts w:ascii="游明朝" w:hAnsi="游明朝" w:eastAsia="游明朝"/>
                <w:b w:val="0"/>
                <w:color w:val="23301F"/>
                <w:sz w:val="19"/>
              </w:rPr>
              <w:t>学校に行かないと学べないことが学べることだ。</w:t>
            </w:r>
          </w:p>
        </w:tc>
        <w:tc>
          <w:tcPr>
            <w:tcW w:type="dxa" w:w="3402"/>
            <w:vAlign w:val="center"/>
          </w:tcPr>
          <w:p>
            <w:pPr>
              <w:spacing w:after="0" w:line="288" w:lineRule="auto"/>
            </w:pPr>
            <w:r/>
            <w:r>
              <w:rPr>
                <w:rFonts w:ascii="游明朝" w:hAnsi="游明朝" w:eastAsia="游明朝"/>
                <w:b/>
                <w:color w:val="2C5F2D"/>
                <w:sz w:val="19"/>
              </w:rPr>
              <w:t>学校でしか学べないことを学べる点にある。</w:t>
            </w:r>
          </w:p>
        </w:tc>
        <w:tc>
          <w:tcPr>
            <w:tcW w:type="dxa" w:w="2835"/>
            <w:vAlign w:val="center"/>
          </w:tcPr>
          <w:p>
            <w:pPr>
              <w:spacing w:after="0" w:line="288" w:lineRule="auto"/>
            </w:pPr>
            <w:r/>
            <w:r>
              <w:rPr>
                <w:rFonts w:ascii="游ゴシック" w:hAnsi="游ゴシック" w:eastAsia="游ゴシック"/>
                <w:b w:val="0"/>
                <w:color w:val="23301F"/>
                <w:sz w:val="18"/>
              </w:rPr>
              <w:t>回りくどい言い方を整理</w:t>
            </w:r>
          </w:p>
        </w:tc>
      </w:tr>
      <w:tr>
        <w:tc>
          <w:tcPr>
            <w:tcW w:type="dxa" w:w="3402"/>
            <w:vAlign w:val="center"/>
          </w:tcPr>
          <w:p>
            <w:pPr>
              <w:spacing w:after="0" w:line="288" w:lineRule="auto"/>
            </w:pPr>
            <w:r/>
            <w:r>
              <w:rPr>
                <w:rFonts w:ascii="游明朝" w:hAnsi="游明朝" w:eastAsia="游明朝"/>
                <w:b w:val="0"/>
                <w:color w:val="23301F"/>
                <w:sz w:val="19"/>
              </w:rPr>
              <w:t>将来教員になった際授業で話し合う授業や交流する場面を多く作っていきたいと思う。</w:t>
            </w:r>
          </w:p>
        </w:tc>
        <w:tc>
          <w:tcPr>
            <w:tcW w:type="dxa" w:w="3402"/>
            <w:vAlign w:val="center"/>
          </w:tcPr>
          <w:p>
            <w:pPr>
              <w:spacing w:after="0" w:line="288" w:lineRule="auto"/>
            </w:pPr>
            <w:r/>
            <w:r>
              <w:rPr>
                <w:rFonts w:ascii="游明朝" w:hAnsi="游明朝" w:eastAsia="游明朝"/>
                <w:b/>
                <w:color w:val="2C5F2D"/>
                <w:sz w:val="19"/>
              </w:rPr>
              <w:t>将来教員になり、生徒同士が話し合い、交流できる授業を多くつくっていきたい。</w:t>
            </w:r>
          </w:p>
        </w:tc>
        <w:tc>
          <w:tcPr>
            <w:tcW w:type="dxa" w:w="2835"/>
            <w:vAlign w:val="center"/>
          </w:tcPr>
          <w:p>
            <w:pPr>
              <w:spacing w:after="0" w:line="288" w:lineRule="auto"/>
            </w:pPr>
            <w:r/>
            <w:r>
              <w:rPr>
                <w:rFonts w:ascii="游ゴシック" w:hAnsi="游ゴシック" w:eastAsia="游ゴシック"/>
                <w:b w:val="0"/>
                <w:color w:val="23301F"/>
                <w:sz w:val="18"/>
              </w:rPr>
              <w:t>「授業」の重複。「思う」を外して言い切る</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構成の見直し（Q3 段落メモ）</w:t>
      </w:r>
    </w:p>
    <w:p>
      <w:pPr>
        <w:spacing w:after="80" w:before="0" w:line="300" w:lineRule="auto"/>
      </w:pPr>
      <w:r>
        <w:rPr>
          <w:rFonts w:ascii="游ゴシック" w:hAnsi="游ゴシック" w:eastAsia="游ゴシック"/>
          <w:b w:val="0"/>
          <w:color w:val="5B6B54"/>
          <w:sz w:val="19"/>
        </w:rPr>
        <w:t>左があなたの答案の骨組み、右がおすすめの骨組み。書く前にこのメモを作れば、構成は安定する。</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4819"/>
        <w:gridCol w:w="4819"/>
      </w:tblGrid>
      <w:tr>
        <w:tc>
          <w:tcPr>
            <w:tcW w:type="dxa" w:w="4819"/>
            <w:shd w:val="clear" w:color="auto" w:fill="2C5F2D"/>
            <w:vAlign w:val="center"/>
          </w:tcPr>
          <w:p>
            <w:pPr>
              <w:spacing w:after="0" w:line="288" w:lineRule="auto"/>
              <w:jc w:val="center"/>
            </w:pPr>
            <w:r/>
            <w:r>
              <w:rPr>
                <w:rFonts w:ascii="游ゴシック" w:hAnsi="游ゴシック" w:eastAsia="游ゴシック"/>
                <w:b/>
                <w:color w:val="FFFFFF"/>
                <w:sz w:val="19"/>
              </w:rPr>
              <w:t>あなたの答案</w:t>
            </w:r>
          </w:p>
        </w:tc>
        <w:tc>
          <w:tcPr>
            <w:tcW w:type="dxa" w:w="4819"/>
            <w:shd w:val="clear" w:color="auto" w:fill="D9782D"/>
            <w:vAlign w:val="center"/>
          </w:tcPr>
          <w:p>
            <w:pPr>
              <w:spacing w:after="0" w:line="288" w:lineRule="auto"/>
              <w:jc w:val="center"/>
            </w:pPr>
            <w:r/>
            <w:r>
              <w:rPr>
                <w:rFonts w:ascii="游ゴシック" w:hAnsi="游ゴシック" w:eastAsia="游ゴシック"/>
                <w:b/>
                <w:color w:val="FFFFFF"/>
                <w:sz w:val="19"/>
              </w:rPr>
              <w:t>おすすめの構成メモ</w:t>
            </w:r>
          </w:p>
        </w:tc>
      </w:tr>
      <w:tr>
        <w:tc>
          <w:tcPr>
            <w:tcW w:type="dxa" w:w="4819"/>
            <w:vAlign w:val="center"/>
          </w:tcPr>
          <w:p>
            <w:pPr>
              <w:spacing w:after="0" w:line="288" w:lineRule="auto"/>
            </w:pPr>
            <w:r/>
            <w:r>
              <w:rPr>
                <w:rFonts w:ascii="游ゴシック" w:hAnsi="游ゴシック" w:eastAsia="游ゴシック"/>
                <w:b w:val="0"/>
                <w:color w:val="23301F"/>
                <w:sz w:val="19"/>
              </w:rPr>
              <w:t>【序論】要約：勉強は目次づくり・やり方を学ぶ／将来や危機に役立つ</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【序論】要約：勉強は知識の目次づくり・やり方を学ぶ → 将来・危機に役立つ</w:t>
            </w:r>
          </w:p>
        </w:tc>
      </w:tr>
      <w:tr>
        <w:tc>
          <w:tcPr>
            <w:tcW w:type="dxa" w:w="4819"/>
            <w:vAlign w:val="center"/>
          </w:tcPr>
          <w:p>
            <w:pPr>
              <w:spacing w:after="0" w:line="288" w:lineRule="auto"/>
            </w:pPr>
            <w:r/>
            <w:r>
              <w:rPr>
                <w:rFonts w:ascii="游ゴシック" w:hAnsi="游ゴシック" w:eastAsia="游ゴシック"/>
                <w:b w:val="0"/>
                <w:color w:val="23301F"/>
                <w:sz w:val="19"/>
              </w:rPr>
              <w:t>【主張】問い → 学校でしか学べないことが学べる</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【主張】問い → 学校でしか学べないこと（他者との対話）</w:t>
            </w:r>
          </w:p>
        </w:tc>
      </w:tr>
      <w:tr>
        <w:tc>
          <w:tcPr>
            <w:tcW w:type="dxa" w:w="4819"/>
            <w:vAlign w:val="center"/>
          </w:tcPr>
          <w:p>
            <w:pPr>
              <w:spacing w:after="0" w:line="288" w:lineRule="auto"/>
            </w:pPr>
            <w:r/>
            <w:r>
              <w:rPr>
                <w:rFonts w:ascii="游ゴシック" w:hAnsi="游ゴシック" w:eastAsia="游ゴシック"/>
                <w:b w:val="0"/>
                <w:color w:val="23301F"/>
                <w:sz w:val="19"/>
              </w:rPr>
              <w:t>【本論】理由：生徒同士の話し合いで考えが深まる／体験：班で意見を共有し新しい発見・意欲が上がった</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【本論①】理由：家では他人の考えに触れられない／話し合いで考えが深まる</w:t>
            </w:r>
          </w:p>
        </w:tc>
      </w:tr>
      <w:tr>
        <w:tc>
          <w:tcPr>
            <w:tcW w:type="dxa" w:w="4819"/>
            <w:vAlign w:val="center"/>
          </w:tcPr>
          <w:p>
            <w:pPr>
              <w:spacing w:after="0" w:line="288" w:lineRule="auto"/>
            </w:pPr>
            <w:r/>
            <w:r>
              <w:rPr>
                <w:rFonts w:ascii="游ゴシック" w:hAnsi="游ゴシック" w:eastAsia="游ゴシック"/>
                <w:b w:val="0"/>
                <w:color w:val="23301F"/>
                <w:sz w:val="19"/>
              </w:rPr>
              <w:t>【結論】学校の勉強＝学校でしか学べないこと → 教員として話し合う授業をつくりたい</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【本論②】体験：班活動 → 仲間の意見で新しい発見・意欲が高まった</w:t>
            </w:r>
          </w:p>
        </w:tc>
      </w:tr>
      <w:tr>
        <w:tc>
          <w:tcPr>
            <w:tcW w:type="dxa" w:w="4819"/>
          </w:tcP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【結論】学校の勉強＝対話で考えを深める場 → 教員として話し合う授業をつくる</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書き直し例（559字）</w:t>
      </w:r>
    </w:p>
    <w:p>
      <w:pPr>
        <w:spacing w:after="80" w:before="0" w:line="300" w:lineRule="auto"/>
      </w:pPr>
      <w:r>
        <w:rPr>
          <w:rFonts w:ascii="游ゴシック" w:hAnsi="游ゴシック" w:eastAsia="游ゴシック"/>
          <w:b w:val="0"/>
          <w:color w:val="5B6B54"/>
          <w:sz w:val="19"/>
        </w:rPr>
        <w:t>あなたの考えを生かしたまま直した一例。丸写しせず、どこが変わったかを比べて読むこと。</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序論</w:t>
            </w:r>
          </w:p>
          <w:p>
            <w:pPr>
              <w:spacing w:after="0" w:line="288" w:lineRule="auto"/>
            </w:pPr>
            <w:r>
              <w:rPr>
                <w:rFonts w:ascii="游ゴシック" w:hAnsi="游ゴシック" w:eastAsia="游ゴシック"/>
                <w:b/>
                <w:color w:val="2C5F2D"/>
                <w:sz w:val="19"/>
              </w:rPr>
              <w:t>110字</w:t>
            </w:r>
          </w:p>
        </w:tc>
        <w:tc>
          <w:tcPr>
            <w:tcW w:type="dxa" w:w="8277"/>
            <w:vAlign w:val="center"/>
          </w:tcPr>
          <w:p>
            <w:pPr>
              <w:spacing w:after="0" w:line="288" w:lineRule="auto"/>
            </w:pPr>
            <w:r/>
            <w:r>
              <w:rPr>
                <w:rFonts w:ascii="游明朝" w:hAnsi="游明朝" w:eastAsia="游明朝"/>
                <w:b w:val="0"/>
                <w:color w:val="23301F"/>
                <w:sz w:val="21"/>
              </w:rPr>
              <w:t>「わたし」は、学生のうちに行う勉強は、知識の目次をつくる作業であり、勉強のやり方を身につけることだと考えている。そして、学ぶことの価値を知った人は、将来の選択や人生の危機に直面したときに、その力に助けられると述べてい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主張</w:t>
            </w:r>
          </w:p>
          <w:p>
            <w:pPr>
              <w:spacing w:after="0" w:line="288" w:lineRule="auto"/>
            </w:pPr>
            <w:r>
              <w:rPr>
                <w:rFonts w:ascii="游ゴシック" w:hAnsi="游ゴシック" w:eastAsia="游ゴシック"/>
                <w:b/>
                <w:color w:val="2C5F2D"/>
                <w:sz w:val="19"/>
              </w:rPr>
              <w:t>48字</w:t>
            </w:r>
          </w:p>
        </w:tc>
        <w:tc>
          <w:tcPr>
            <w:tcW w:type="dxa" w:w="8277"/>
            <w:vAlign w:val="center"/>
          </w:tcPr>
          <w:p>
            <w:pPr>
              <w:spacing w:after="0" w:line="288" w:lineRule="auto"/>
            </w:pPr>
            <w:r/>
            <w:r>
              <w:rPr>
                <w:rFonts w:ascii="游明朝" w:hAnsi="游明朝" w:eastAsia="游明朝"/>
                <w:b w:val="0"/>
                <w:color w:val="23301F"/>
                <w:sz w:val="21"/>
              </w:rPr>
              <w:t>では、「学校の勉強」の意味とは何だろうか。私は、学校でしか学べないことを学べる点にあると考える。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本論</w:t>
            </w:r>
          </w:p>
          <w:p>
            <w:pPr>
              <w:spacing w:after="0" w:line="288" w:lineRule="auto"/>
            </w:pPr>
            <w:r>
              <w:rPr>
                <w:rFonts w:ascii="游ゴシック" w:hAnsi="游ゴシック" w:eastAsia="游ゴシック"/>
                <w:b/>
                <w:color w:val="2C5F2D"/>
                <w:sz w:val="19"/>
              </w:rPr>
              <w:t>256字</w:t>
            </w:r>
          </w:p>
        </w:tc>
        <w:tc>
          <w:tcPr>
            <w:tcW w:type="dxa" w:w="8277"/>
            <w:vAlign w:val="center"/>
          </w:tcPr>
          <w:p>
            <w:pPr>
              <w:spacing w:after="0" w:line="288" w:lineRule="auto"/>
            </w:pPr>
            <w:r/>
            <w:r>
              <w:rPr>
                <w:rFonts w:ascii="游明朝" w:hAnsi="游明朝" w:eastAsia="游明朝"/>
                <w:b w:val="0"/>
                <w:color w:val="23301F"/>
                <w:sz w:val="21"/>
              </w:rPr>
              <w:t>その理由は、授業の中で生徒同士が意見を交わせるからである。家で一人で勉強していても、他人の考えに触れる機会はない。中学生の頃、班で話し合う授業で、私は最初ほとんど考えが思い浮かばなかった。しかし、班のメンバーの意見を共有するうちに、このような視点もあるのかと、新しい発見がいくつもあった。また、一人で家で勉強するよりも、班で取り組むほうが意欲が高まると感じた。仲間と学ぶことで、自分一人では得られない考えに出会えたのである。「わたし」の言う学ぶことの価値も、こうした仲間との学びの中でこそ実感できるのではない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145字</w:t>
            </w:r>
          </w:p>
        </w:tc>
        <w:tc>
          <w:tcPr>
            <w:tcW w:type="dxa" w:w="8277"/>
            <w:vAlign w:val="center"/>
          </w:tcPr>
          <w:p>
            <w:pPr>
              <w:spacing w:after="0" w:line="288" w:lineRule="auto"/>
            </w:pPr>
            <w:r/>
            <w:r>
              <w:rPr>
                <w:rFonts w:ascii="游明朝" w:hAnsi="游明朝" w:eastAsia="游明朝"/>
                <w:b w:val="0"/>
                <w:color w:val="23301F"/>
                <w:sz w:val="21"/>
              </w:rPr>
              <w:t>以上より、「学校の勉強」の意味は、生徒同士の対話を通して、さまざまな意見に触れ、考えを深められる点にある。知識は本やインターネットからも得られるが、異なる考えを持つ仲間と意見を交わす経験は、学校でしか得られない。私は将来教員になり、生徒同士が話し合い、交流できる授業を多くつくっていき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アドミッションポリシーとのつながり</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大学全体：建学の精神・教育理念に共感し、学問への意欲と、多様性・主体性への姿勢を持つ学生</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文学部 教育学科：本学の教育の理念を理解し、学ぶ意欲が高く、学科の求める学生像に合う学生を選抜（学科固有の方針本文は未確認）</w:t>
      </w:r>
    </w:p>
    <w:p>
      <w:pPr>
        <w:spacing w:after="40" w:before="40" w:line="300" w:lineRule="auto"/>
      </w:pPr>
      <w:r>
        <w:rPr>
          <w:rFonts w:ascii="游ゴシック" w:hAnsi="游ゴシック" w:eastAsia="游ゴシック"/>
          <w:b w:val="0"/>
          <w:color w:val="23301F"/>
          <w:sz w:val="21"/>
        </w:rPr>
        <w:t>生徒同士の学び合いの価値を自分の体験から語り、教員としての目標につなげている点は、教育学科で学ぶ意欲として高く評価されやすい。この結論の形を、ほかのテーマでも使えるようにしたい。</w:t>
      </w:r>
    </w:p>
    <w:p>
      <w:pPr>
        <w:spacing w:after="80" w:before="0" w:line="300" w:lineRule="auto"/>
      </w:pPr>
      <w:r>
        <w:rPr>
          <w:rFonts w:ascii="游ゴシック" w:hAnsi="游ゴシック" w:eastAsia="游ゴシック"/>
          <w:b w:val="0"/>
          <w:color w:val="5B6B54"/>
          <w:sz w:val="16"/>
        </w:rPr>
        <w:t>出典：https://www.kokushikan.ac.jp/admission/undergraduate/guidebook/docs/admission_guidebook_2026.pdf　https://contact.kokushikan.ac.jp/faculty/Letters/about/file/Letters_education_AP.pdf（本文未確認）</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次回の課題</w:t>
      </w:r>
    </w:p>
    <w:p>
      <w:pPr>
        <w:spacing w:after="40" w:before="0" w:line="300" w:lineRule="auto"/>
      </w:pPr>
      <w:r>
        <w:rPr>
          <w:rFonts w:ascii="游ゴシック" w:hAnsi="游ゴシック" w:eastAsia="游ゴシック"/>
          <w:b/>
          <w:color w:val="D9782D"/>
          <w:sz w:val="21"/>
        </w:rPr>
        <w:t>1．</w:t>
      </w:r>
      <w:r>
        <w:rPr>
          <w:rFonts w:ascii="游ゴシック" w:hAnsi="游ゴシック" w:eastAsia="游ゴシック"/>
          <w:b w:val="0"/>
          <w:color w:val="23301F"/>
          <w:sz w:val="21"/>
        </w:rPr>
        <w:t>要約の文は、主語と述語がそろっているか声に出して確かめる</w:t>
      </w:r>
    </w:p>
    <w:p>
      <w:pPr>
        <w:spacing w:after="40" w:before="0" w:line="300" w:lineRule="auto"/>
      </w:pPr>
      <w:r>
        <w:rPr>
          <w:rFonts w:ascii="游ゴシック" w:hAnsi="游ゴシック" w:eastAsia="游ゴシック"/>
          <w:b/>
          <w:color w:val="D9782D"/>
          <w:sz w:val="21"/>
        </w:rPr>
        <w:t>2．</w:t>
      </w:r>
      <w:r>
        <w:rPr>
          <w:rFonts w:ascii="游ゴシック" w:hAnsi="游ゴシック" w:eastAsia="游ゴシック"/>
          <w:b w:val="0"/>
          <w:color w:val="23301F"/>
          <w:sz w:val="21"/>
        </w:rPr>
        <w:t>一つの段落が200字を超えたら、理由と体験で段落を分ける</w:t>
      </w:r>
    </w:p>
    <w:p>
      <w:pPr>
        <w:spacing w:after="40" w:before="0" w:line="300" w:lineRule="auto"/>
      </w:pPr>
      <w:r>
        <w:rPr>
          <w:rFonts w:ascii="游ゴシック" w:hAnsi="游ゴシック" w:eastAsia="游ゴシック"/>
          <w:b/>
          <w:color w:val="D9782D"/>
          <w:sz w:val="21"/>
        </w:rPr>
        <w:t>3．</w:t>
      </w:r>
      <w:r>
        <w:rPr>
          <w:rFonts w:ascii="游ゴシック" w:hAnsi="游ゴシック" w:eastAsia="游ゴシック"/>
          <w:b w:val="0"/>
          <w:color w:val="23301F"/>
          <w:sz w:val="21"/>
        </w:rPr>
        <w:t>書き終えたら、同じ言葉（授業・やる気など）が近くで重なっていないか見直す</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color w:val="5B6B54"/>
        <w:sz w:val="16"/>
      </w:rPr>
      <w:t>小論文添削（ショー）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