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9639" w:type="dxa"/>
        <w:jc w:val="center"/>
        <w:tblLayout w:type="fixed"/>
        <w:tblLook w:firstColumn="1" w:firstRow="1" w:lastColumn="0" w:lastRow="0" w:noHBand="0" w:noVBand="1" w:val="04A0"/>
      </w:tblPr>
      <w:tblGrid>
        <w:gridCol w:w="6237"/>
        <w:gridCol w:w="3402"/>
      </w:tblGrid>
      <w:tr>
        <w:tc>
          <w:tcPr>
            <w:tcW w:type="dxa" w:w="6236"/>
            <w:shd w:val="clear" w:color="auto" w:fill="2C5F2D"/>
            <w:vAlign w:val="center"/>
          </w:tcPr>
          <w:p>
            <w:pPr>
              <w:spacing w:after="0" w:line="288" w:lineRule="auto"/>
            </w:pPr>
            <w:r/>
            <w:r>
              <w:rPr>
                <w:rFonts w:ascii="游ゴシック" w:hAnsi="游ゴシック" w:eastAsia="游ゴシック"/>
                <w:b/>
                <w:color w:val="FFFFFF"/>
                <w:sz w:val="40"/>
              </w:rPr>
              <w:t>小論文 添削シート</w:t>
            </w:r>
          </w:p>
        </w:tc>
        <w:tc>
          <w:tcPr>
            <w:tcW w:type="dxa" w:w="3402"/>
            <w:shd w:val="clear" w:color="auto" w:fill="2C5F2D"/>
            <w:vAlign w:val="center"/>
          </w:tcPr>
          <w:p>
            <w:pPr>
              <w:spacing w:after="0" w:line="288" w:lineRule="auto"/>
              <w:jc w:val="right"/>
            </w:pPr>
            <w:r/>
            <w:r>
              <w:rPr>
                <w:rFonts w:ascii="游ゴシック" w:hAnsi="游ゴシック" w:eastAsia="游ゴシック"/>
                <w:b/>
                <w:color w:val="FFFFFF"/>
                <w:sz w:val="21"/>
              </w:rPr>
              <w:t>2026-10-17</w:t>
            </w:r>
          </w:p>
          <w:p>
            <w:pPr>
              <w:spacing w:after="0" w:line="288" w:lineRule="auto"/>
            </w:pPr>
            <w:r>
              <w:rPr>
                <w:rFonts w:ascii="游ゴシック" w:hAnsi="游ゴシック" w:eastAsia="游ゴシック"/>
                <w:b/>
                <w:color w:val="FFFFFF"/>
                <w:sz w:val="21"/>
              </w:rPr>
              <w:t>石川陽太</w:t>
            </w:r>
          </w:p>
        </w:tc>
      </w:tr>
    </w:tbl>
    <w:p>
      <w:pPr>
        <w:spacing w:after="40" w:before="0" w:line="300" w:lineRule="auto"/>
      </w:pP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134"/>
        <w:gridCol w:w="8505"/>
      </w:tblGrid>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志望</w:t>
            </w:r>
          </w:p>
        </w:tc>
        <w:tc>
          <w:tcPr>
            <w:tcW w:type="dxa" w:w="8504"/>
            <w:vAlign w:val="center"/>
          </w:tcPr>
          <w:p>
            <w:pPr>
              <w:spacing w:after="0" w:line="288" w:lineRule="auto"/>
            </w:pPr>
            <w:r/>
            <w:r>
              <w:rPr>
                <w:rFonts w:ascii="游ゴシック" w:hAnsi="游ゴシック" w:eastAsia="游ゴシック"/>
                <w:b w:val="0"/>
                <w:color w:val="23301F"/>
                <w:sz w:val="20"/>
              </w:rPr>
              <w:t>国士舘大学 文学部 教育学科 総合型選抜（R8 AOⅠ期 過去問）</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題材</w:t>
            </w:r>
          </w:p>
        </w:tc>
        <w:tc>
          <w:tcPr>
            <w:tcW w:type="dxa" w:w="8504"/>
            <w:vAlign w:val="center"/>
          </w:tcPr>
          <w:p>
            <w:pPr>
              <w:spacing w:after="0" w:line="288" w:lineRule="auto"/>
            </w:pPr>
            <w:r/>
            <w:r>
              <w:rPr>
                <w:rFonts w:ascii="游ゴシック" w:hAnsi="游ゴシック" w:eastAsia="游ゴシック"/>
                <w:b w:val="0"/>
                <w:color w:val="23301F"/>
                <w:sz w:val="20"/>
              </w:rPr>
              <w:t>想像力の使い方</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設問</w:t>
            </w:r>
          </w:p>
        </w:tc>
        <w:tc>
          <w:tcPr>
            <w:tcW w:type="dxa" w:w="8504"/>
            <w:vAlign w:val="center"/>
          </w:tcPr>
          <w:p>
            <w:pPr>
              <w:spacing w:after="0" w:line="288" w:lineRule="auto"/>
            </w:pPr>
            <w:r/>
            <w:r>
              <w:rPr>
                <w:rFonts w:ascii="游ゴシック" w:hAnsi="游ゴシック" w:eastAsia="游ゴシック"/>
                <w:b w:val="0"/>
                <w:color w:val="23301F"/>
                <w:sz w:val="20"/>
              </w:rPr>
              <w:t>（推定）課題文の筆者の「想像力の使い方」についての考えを要約し、あなたの意見を述べなさい。</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字数</w:t>
            </w:r>
          </w:p>
        </w:tc>
        <w:tc>
          <w:tcPr>
            <w:tcW w:type="dxa" w:w="8504"/>
            <w:vAlign w:val="center"/>
          </w:tcPr>
          <w:p>
            <w:pPr>
              <w:spacing w:after="0" w:line="288" w:lineRule="auto"/>
            </w:pPr>
            <w:r/>
            <w:r>
              <w:rPr>
                <w:rFonts w:ascii="游ゴシック" w:hAnsi="游ゴシック" w:eastAsia="游ゴシック"/>
                <w:b w:val="0"/>
                <w:color w:val="23301F"/>
                <w:sz w:val="20"/>
              </w:rPr>
              <w:t>制限 600字以内　→　答案 314字（9割（540字）に届いていない）</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評価</w:t>
      </w:r>
    </w:p>
    <w:p>
      <w:pPr>
        <w:spacing w:after="80" w:before="0" w:line="300" w:lineRule="auto"/>
      </w:pPr>
      <w:r>
        <w:rPr>
          <w:rFonts w:ascii="游ゴシック" w:hAnsi="游ゴシック" w:eastAsia="游ゴシック"/>
          <w:b/>
          <w:color w:val="17321A"/>
          <w:sz w:val="24"/>
        </w:rPr>
        <w:t xml:space="preserve">総合 </w:t>
      </w:r>
      <w:r>
        <w:rPr>
          <w:rFonts w:ascii="游ゴシック" w:hAnsi="游ゴシック" w:eastAsia="游ゴシック"/>
          <w:b/>
          <w:color w:val="D9782D"/>
          <w:sz w:val="56"/>
        </w:rPr>
        <w:t>52</w:t>
      </w:r>
      <w:r>
        <w:rPr>
          <w:rFonts w:ascii="游ゴシック" w:hAnsi="游ゴシック" w:eastAsia="游ゴシック"/>
          <w:b/>
          <w:color w:val="17321A"/>
          <w:sz w:val="24"/>
        </w:rPr>
        <w:t xml:space="preserve"> / 100点</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2154"/>
        <w:gridCol w:w="1134"/>
        <w:gridCol w:w="6350"/>
      </w:tblGrid>
      <w:tr>
        <w:tc>
          <w:tcPr>
            <w:tcW w:type="dxa" w:w="2154"/>
            <w:shd w:val="clear" w:color="auto" w:fill="2C5F2D"/>
            <w:vAlign w:val="center"/>
          </w:tcPr>
          <w:p>
            <w:pPr>
              <w:spacing w:after="0" w:line="288" w:lineRule="auto"/>
              <w:jc w:val="center"/>
            </w:pPr>
            <w:r/>
            <w:r>
              <w:rPr>
                <w:rFonts w:ascii="游ゴシック" w:hAnsi="游ゴシック" w:eastAsia="游ゴシック"/>
                <w:b/>
                <w:color w:val="FFFFFF"/>
                <w:sz w:val="19"/>
              </w:rPr>
              <w:t>観点</w:t>
            </w:r>
          </w:p>
        </w:tc>
        <w:tc>
          <w:tcPr>
            <w:tcW w:type="dxa" w:w="1134"/>
            <w:shd w:val="clear" w:color="auto" w:fill="2C5F2D"/>
            <w:vAlign w:val="center"/>
          </w:tcPr>
          <w:p>
            <w:pPr>
              <w:spacing w:after="0" w:line="288" w:lineRule="auto"/>
              <w:jc w:val="center"/>
            </w:pPr>
            <w:r/>
            <w:r>
              <w:rPr>
                <w:rFonts w:ascii="游ゴシック" w:hAnsi="游ゴシック" w:eastAsia="游ゴシック"/>
                <w:b/>
                <w:color w:val="FFFFFF"/>
                <w:sz w:val="19"/>
              </w:rPr>
              <w:t>得点</w:t>
            </w:r>
          </w:p>
        </w:tc>
        <w:tc>
          <w:tcPr>
            <w:tcW w:type="dxa" w:w="6350"/>
            <w:shd w:val="clear" w:color="auto" w:fill="2C5F2D"/>
            <w:vAlign w:val="center"/>
          </w:tcPr>
          <w:p>
            <w:pPr>
              <w:spacing w:after="0" w:line="288" w:lineRule="auto"/>
              <w:jc w:val="center"/>
            </w:pPr>
            <w:r/>
            <w:r>
              <w:rPr>
                <w:rFonts w:ascii="游ゴシック" w:hAnsi="游ゴシック" w:eastAsia="游ゴシック"/>
                <w:b/>
                <w:color w:val="FFFFFF"/>
                <w:sz w:val="19"/>
              </w:rPr>
              <w:t>コメント</w:t>
            </w:r>
          </w:p>
        </w:tc>
      </w:tr>
      <w:tr>
        <w:tc>
          <w:tcPr>
            <w:tcW w:type="dxa" w:w="2154"/>
            <w:vAlign w:val="center"/>
          </w:tcPr>
          <w:p>
            <w:pPr>
              <w:spacing w:after="0" w:line="288" w:lineRule="auto"/>
            </w:pPr>
            <w:r/>
            <w:r>
              <w:rPr>
                <w:rFonts w:ascii="游ゴシック" w:hAnsi="游ゴシック" w:eastAsia="游ゴシック"/>
                <w:b/>
                <w:color w:val="17321A"/>
                <w:sz w:val="19"/>
              </w:rPr>
              <w:t>設問への応答</w:t>
            </w:r>
          </w:p>
        </w:tc>
        <w:tc>
          <w:tcPr>
            <w:tcW w:type="dxa" w:w="1134"/>
            <w:vAlign w:val="center"/>
          </w:tcPr>
          <w:p>
            <w:pPr>
              <w:spacing w:after="0" w:line="288" w:lineRule="auto"/>
              <w:jc w:val="center"/>
            </w:pPr>
            <w:r/>
            <w:r>
              <w:rPr>
                <w:rFonts w:ascii="游ゴシック" w:hAnsi="游ゴシック" w:eastAsia="游ゴシック"/>
                <w:b/>
                <w:color w:val="D9782D"/>
                <w:sz w:val="22"/>
              </w:rPr>
              <w:t>13 / 20</w:t>
            </w:r>
          </w:p>
        </w:tc>
        <w:tc>
          <w:tcPr>
            <w:tcW w:type="dxa" w:w="6350"/>
            <w:vAlign w:val="center"/>
          </w:tcPr>
          <w:p>
            <w:pPr>
              <w:spacing w:after="0" w:line="288" w:lineRule="auto"/>
            </w:pPr>
            <w:r/>
            <w:r>
              <w:rPr>
                <w:rFonts w:ascii="游ゴシック" w:hAnsi="游ゴシック" w:eastAsia="游ゴシック"/>
                <w:b w:val="0"/>
                <w:color w:val="23301F"/>
                <w:sz w:val="19"/>
              </w:rPr>
              <w:t>要約と賛否は示せている。ただ理由が課題文の中身（宗教・家の事情）の言い換えにとどまり、「想像力をどう使うべきか」への自分の答えが弱い。</w:t>
            </w:r>
          </w:p>
        </w:tc>
      </w:tr>
      <w:tr>
        <w:tc>
          <w:tcPr>
            <w:tcW w:type="dxa" w:w="2154"/>
            <w:vAlign w:val="center"/>
          </w:tcPr>
          <w:p>
            <w:pPr>
              <w:spacing w:after="0" w:line="288" w:lineRule="auto"/>
            </w:pPr>
            <w:r/>
            <w:r>
              <w:rPr>
                <w:rFonts w:ascii="游ゴシック" w:hAnsi="游ゴシック" w:eastAsia="游ゴシック"/>
                <w:b/>
                <w:color w:val="17321A"/>
                <w:sz w:val="19"/>
              </w:rPr>
              <w:t>構成・論理</w:t>
            </w:r>
          </w:p>
        </w:tc>
        <w:tc>
          <w:tcPr>
            <w:tcW w:type="dxa" w:w="1134"/>
            <w:vAlign w:val="center"/>
          </w:tcPr>
          <w:p>
            <w:pPr>
              <w:spacing w:after="0" w:line="288" w:lineRule="auto"/>
              <w:jc w:val="center"/>
            </w:pPr>
            <w:r/>
            <w:r>
              <w:rPr>
                <w:rFonts w:ascii="游ゴシック" w:hAnsi="游ゴシック" w:eastAsia="游ゴシック"/>
                <w:b/>
                <w:color w:val="D9782D"/>
                <w:sz w:val="22"/>
              </w:rPr>
              <w:t>11 / 20</w:t>
            </w:r>
          </w:p>
        </w:tc>
        <w:tc>
          <w:tcPr>
            <w:tcW w:type="dxa" w:w="6350"/>
            <w:vAlign w:val="center"/>
          </w:tcPr>
          <w:p>
            <w:pPr>
              <w:spacing w:after="0" w:line="288" w:lineRule="auto"/>
            </w:pPr>
            <w:r/>
            <w:r>
              <w:rPr>
                <w:rFonts w:ascii="游ゴシック" w:hAnsi="游ゴシック" w:eastAsia="游ゴシック"/>
                <w:b w:val="0"/>
                <w:color w:val="23301F"/>
                <w:sz w:val="19"/>
              </w:rPr>
              <w:t>要約→賛成→理由2つの形は良い。結論の段落がなく、理由②「子どもの人生だから大人が思うことをやらせる必要はない」は主張とのつながりが薄い。</w:t>
            </w:r>
          </w:p>
        </w:tc>
      </w:tr>
      <w:tr>
        <w:tc>
          <w:tcPr>
            <w:tcW w:type="dxa" w:w="2154"/>
            <w:vAlign w:val="center"/>
          </w:tcPr>
          <w:p>
            <w:pPr>
              <w:spacing w:after="0" w:line="288" w:lineRule="auto"/>
            </w:pPr>
            <w:r/>
            <w:r>
              <w:rPr>
                <w:rFonts w:ascii="游ゴシック" w:hAnsi="游ゴシック" w:eastAsia="游ゴシック"/>
                <w:b/>
                <w:color w:val="17321A"/>
                <w:sz w:val="19"/>
              </w:rPr>
              <w:t>根拠・具体性</w:t>
            </w:r>
          </w:p>
        </w:tc>
        <w:tc>
          <w:tcPr>
            <w:tcW w:type="dxa" w:w="1134"/>
            <w:vAlign w:val="center"/>
          </w:tcPr>
          <w:p>
            <w:pPr>
              <w:spacing w:after="0" w:line="288" w:lineRule="auto"/>
              <w:jc w:val="center"/>
            </w:pPr>
            <w:r/>
            <w:r>
              <w:rPr>
                <w:rFonts w:ascii="游ゴシック" w:hAnsi="游ゴシック" w:eastAsia="游ゴシック"/>
                <w:b/>
                <w:color w:val="D9782D"/>
                <w:sz w:val="22"/>
              </w:rPr>
              <w:t>9 / 20</w:t>
            </w:r>
          </w:p>
        </w:tc>
        <w:tc>
          <w:tcPr>
            <w:tcW w:type="dxa" w:w="6350"/>
            <w:vAlign w:val="center"/>
          </w:tcPr>
          <w:p>
            <w:pPr>
              <w:spacing w:after="0" w:line="288" w:lineRule="auto"/>
            </w:pPr>
            <w:r/>
            <w:r>
              <w:rPr>
                <w:rFonts w:ascii="游ゴシック" w:hAnsi="游ゴシック" w:eastAsia="游ゴシック"/>
                <w:b w:val="0"/>
                <w:color w:val="23301F"/>
                <w:sz w:val="19"/>
              </w:rPr>
              <w:t>自分の体験や具体的な場面が一つもない。小学校時代など、身近な例を一つ入れると説得力が大きく上がる。</w:t>
            </w:r>
          </w:p>
        </w:tc>
      </w:tr>
      <w:tr>
        <w:tc>
          <w:tcPr>
            <w:tcW w:type="dxa" w:w="2154"/>
            <w:vAlign w:val="center"/>
          </w:tcPr>
          <w:p>
            <w:pPr>
              <w:spacing w:after="0" w:line="288" w:lineRule="auto"/>
            </w:pPr>
            <w:r/>
            <w:r>
              <w:rPr>
                <w:rFonts w:ascii="游ゴシック" w:hAnsi="游ゴシック" w:eastAsia="游ゴシック"/>
                <w:b/>
                <w:color w:val="17321A"/>
                <w:sz w:val="19"/>
              </w:rPr>
              <w:t>学部・アドミッションポリシーとの適合</w:t>
            </w:r>
          </w:p>
        </w:tc>
        <w:tc>
          <w:tcPr>
            <w:tcW w:type="dxa" w:w="1134"/>
            <w:vAlign w:val="center"/>
          </w:tcPr>
          <w:p>
            <w:pPr>
              <w:spacing w:after="0" w:line="288" w:lineRule="auto"/>
              <w:jc w:val="center"/>
            </w:pPr>
            <w:r/>
            <w:r>
              <w:rPr>
                <w:rFonts w:ascii="游ゴシック" w:hAnsi="游ゴシック" w:eastAsia="游ゴシック"/>
                <w:b/>
                <w:color w:val="D9782D"/>
                <w:sz w:val="22"/>
              </w:rPr>
              <w:t>8 / 20</w:t>
            </w:r>
          </w:p>
        </w:tc>
        <w:tc>
          <w:tcPr>
            <w:tcW w:type="dxa" w:w="6350"/>
            <w:vAlign w:val="center"/>
          </w:tcPr>
          <w:p>
            <w:pPr>
              <w:spacing w:after="0" w:line="288" w:lineRule="auto"/>
            </w:pPr>
            <w:r/>
            <w:r>
              <w:rPr>
                <w:rFonts w:ascii="游ゴシック" w:hAnsi="游ゴシック" w:eastAsia="游ゴシック"/>
                <w:b w:val="0"/>
                <w:color w:val="23301F"/>
                <w:sz w:val="19"/>
              </w:rPr>
              <w:t>教育学科なのに、教育や教員の役割への言及がない。「子どもが一緒に過ごせる場をつくる」ことは教育そのものなので、最後に必ずつなげたい。</w:t>
            </w:r>
          </w:p>
        </w:tc>
      </w:tr>
      <w:tr>
        <w:tc>
          <w:tcPr>
            <w:tcW w:type="dxa" w:w="2154"/>
            <w:vAlign w:val="center"/>
          </w:tcPr>
          <w:p>
            <w:pPr>
              <w:spacing w:after="0" w:line="288" w:lineRule="auto"/>
            </w:pPr>
            <w:r/>
            <w:r>
              <w:rPr>
                <w:rFonts w:ascii="游ゴシック" w:hAnsi="游ゴシック" w:eastAsia="游ゴシック"/>
                <w:b/>
                <w:color w:val="17321A"/>
                <w:sz w:val="19"/>
              </w:rPr>
              <w:t>表現・表記</w:t>
            </w:r>
          </w:p>
        </w:tc>
        <w:tc>
          <w:tcPr>
            <w:tcW w:type="dxa" w:w="1134"/>
            <w:vAlign w:val="center"/>
          </w:tcPr>
          <w:p>
            <w:pPr>
              <w:spacing w:after="0" w:line="288" w:lineRule="auto"/>
              <w:jc w:val="center"/>
            </w:pPr>
            <w:r/>
            <w:r>
              <w:rPr>
                <w:rFonts w:ascii="游ゴシック" w:hAnsi="游ゴシック" w:eastAsia="游ゴシック"/>
                <w:b/>
                <w:color w:val="D9782D"/>
                <w:sz w:val="22"/>
              </w:rPr>
              <w:t>11 / 20</w:t>
            </w:r>
          </w:p>
        </w:tc>
        <w:tc>
          <w:tcPr>
            <w:tcW w:type="dxa" w:w="6350"/>
            <w:vAlign w:val="center"/>
          </w:tcPr>
          <w:p>
            <w:pPr>
              <w:spacing w:after="0" w:line="288" w:lineRule="auto"/>
            </w:pPr>
            <w:r/>
            <w:r>
              <w:rPr>
                <w:rFonts w:ascii="游ゴシック" w:hAnsi="游ゴシック" w:eastAsia="游ゴシック"/>
                <w:b w:val="0"/>
                <w:color w:val="23301F"/>
                <w:sz w:val="19"/>
              </w:rPr>
              <w:t>だ・である調はほぼ統一できている。「〜べきだ」「〜関係がない」など文末がやや強い。字数は314字で、600字程度なら半分ほど（後半があるか要確認）。</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総評</w:t>
      </w:r>
    </w:p>
    <w:p>
      <w:pPr>
        <w:spacing w:after="80" w:before="0" w:line="300" w:lineRule="auto"/>
      </w:pPr>
      <w:r>
        <w:rPr>
          <w:rFonts w:ascii="游ゴシック" w:hAnsi="游ゴシック" w:eastAsia="游ゴシック"/>
          <w:b w:val="0"/>
          <w:color w:val="23301F"/>
          <w:sz w:val="21"/>
        </w:rPr>
        <w:t>【前提】設問文と字数は未確認のため、字数は解説サイトの「600字程度」を想定し、設問は答案から推定した。課題文を読み取り、賛成の立場をはっきり示せている点は良い。一方で、理由が課題文の言い換えで終わり、自分の体験や教育とのつながりがないため、内容が薄く見える。結論の段落を必ず置き、「教員として子どもたちが一緒に過ごせる場をつくりたい」と教育学科の学びに結べば、答案の芯ができる。</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良かったところ</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筆者の主張を、例（身体の不自由な子・男女・年齢）を挙げて正しく要約できている</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「賛成する」と自分の立場を早い段階ではっきり示している</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「理由は二つある」と予告してから書いており、読み手が迷わない</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直すと伸びるところ</w:t>
      </w:r>
    </w:p>
    <w:p>
      <w:pPr>
        <w:spacing w:after="20" w:before="60" w:line="300" w:lineRule="auto"/>
      </w:pPr>
      <w:r>
        <w:rPr>
          <w:rFonts w:ascii="游ゴシック" w:hAnsi="游ゴシック" w:eastAsia="游ゴシック"/>
          <w:b/>
          <w:color w:val="17321A"/>
          <w:sz w:val="21"/>
        </w:rPr>
        <w:t>1. 結論の段落を必ず書く</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「子どもの人生なのだから大人が思うことをやらせる必要がないと考えるからだ。」</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理由で終わっている。「以上より、想像力は〜に使うべきである」と主張をもう一度まとめ、教育学科での学びにつなげる段落を足す。</w:t>
      </w:r>
    </w:p>
    <w:p>
      <w:pPr>
        <w:spacing w:after="20" w:before="60" w:line="300" w:lineRule="auto"/>
      </w:pPr>
      <w:r>
        <w:rPr>
          <w:rFonts w:ascii="游ゴシック" w:hAnsi="游ゴシック" w:eastAsia="游ゴシック"/>
          <w:b/>
          <w:color w:val="17321A"/>
          <w:sz w:val="21"/>
        </w:rPr>
        <w:t>2. 理由を「自分の考え」にする</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「小学生なのだから宗教や家がお寺などということを深く考えず、仲良く遊んだ方が良い」</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課題文の内容の繰り返しになっている。「違いを意識するより一緒に楽しむ経験が、相手を受け入れる力になる」のように、なぜそう言えるのかを自分の言葉で書く。</w:t>
      </w:r>
    </w:p>
    <w:p>
      <w:pPr>
        <w:spacing w:after="20" w:before="60" w:line="300" w:lineRule="auto"/>
      </w:pPr>
      <w:r>
        <w:rPr>
          <w:rFonts w:ascii="游ゴシック" w:hAnsi="游ゴシック" w:eastAsia="游ゴシック"/>
          <w:b/>
          <w:color w:val="17321A"/>
          <w:sz w:val="21"/>
        </w:rPr>
        <w:t>3. 自分の体験を一つ入れる</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小学校や部活動で、違いのある友だちと一緒に過ごした経験があれば一文でよいので入れる。教育学部系の小論文では体験が強い根拠になる。</w:t>
      </w:r>
    </w:p>
    <w:p>
      <w:pPr>
        <w:spacing w:after="20" w:before="60" w:line="300" w:lineRule="auto"/>
      </w:pPr>
      <w:r>
        <w:rPr>
          <w:rFonts w:ascii="游ゴシック" w:hAnsi="游ゴシック" w:eastAsia="游ゴシック"/>
          <w:b/>
          <w:color w:val="17321A"/>
          <w:sz w:val="21"/>
        </w:rPr>
        <w:t>4. 理由②を主張とつなげる</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「二つ目は、大人の事情があったとしても、それは別に子どもの世界には関係がない。」</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「大人の事情を持ち込むと、子どもは人を立場で判断することを覚えてしまう」のように、なぜ関係がないと言えるのかを補う。</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あなたの答案（314字）</w:t>
      </w:r>
    </w:p>
    <w:tbl>
      <w:tblPr>
        <w:tblW w:w="9639" w:type="dxa"/>
        <w:jc w:val="center"/>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360"/>
        <w:gridCol w:w="8278"/>
      </w:tblGrid>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第1段落</w:t>
            </w:r>
          </w:p>
          <w:p>
            <w:pPr>
              <w:spacing w:after="0" w:line="288" w:lineRule="auto"/>
            </w:pPr>
            <w:r>
              <w:rPr>
                <w:rFonts w:ascii="游ゴシック" w:hAnsi="游ゴシック" w:eastAsia="游ゴシック"/>
                <w:b/>
                <w:color w:val="2C5F2D"/>
                <w:sz w:val="19"/>
              </w:rPr>
              <w:t>108字</w:t>
            </w:r>
          </w:p>
        </w:tc>
        <w:tc>
          <w:tcPr>
            <w:tcW w:type="dxa" w:w="8277"/>
            <w:vAlign w:val="center"/>
          </w:tcPr>
          <w:p>
            <w:pPr>
              <w:spacing w:after="0" w:line="288" w:lineRule="auto"/>
            </w:pPr>
            <w:r/>
            <w:r>
              <w:rPr>
                <w:rFonts w:ascii="游明朝" w:hAnsi="游明朝" w:eastAsia="游明朝"/>
                <w:b w:val="0"/>
                <w:color w:val="23301F"/>
                <w:sz w:val="21"/>
              </w:rPr>
              <w:t>筆者は「想像力の使い方」について、立場や個性や事情を突き詰めて考えるよりも、「いま」を一緒に味わうことを考えている。つまり、身体の不自由な子も女の子も男の子も年齢も関係なく、みんなで遊べるようにしていたと述べている。</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第2段落</w:t>
            </w:r>
          </w:p>
          <w:p>
            <w:pPr>
              <w:spacing w:after="0" w:line="288" w:lineRule="auto"/>
            </w:pPr>
            <w:r>
              <w:rPr>
                <w:rFonts w:ascii="游ゴシック" w:hAnsi="游ゴシック" w:eastAsia="游ゴシック"/>
                <w:b/>
                <w:color w:val="2C5F2D"/>
                <w:sz w:val="19"/>
              </w:rPr>
              <w:t>24字</w:t>
            </w:r>
          </w:p>
        </w:tc>
        <w:tc>
          <w:tcPr>
            <w:tcW w:type="dxa" w:w="8277"/>
            <w:vAlign w:val="center"/>
          </w:tcPr>
          <w:p>
            <w:pPr>
              <w:spacing w:after="0" w:line="288" w:lineRule="auto"/>
            </w:pPr>
            <w:r/>
            <w:r>
              <w:rPr>
                <w:rFonts w:ascii="游明朝" w:hAnsi="游明朝" w:eastAsia="游明朝"/>
                <w:b w:val="0"/>
                <w:color w:val="23301F"/>
                <w:sz w:val="21"/>
              </w:rPr>
              <w:t>私は、筆者の「想像力の使い方」について賛成する。</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第3段落</w:t>
            </w:r>
          </w:p>
          <w:p>
            <w:pPr>
              <w:spacing w:after="0" w:line="288" w:lineRule="auto"/>
            </w:pPr>
            <w:r>
              <w:rPr>
                <w:rFonts w:ascii="游ゴシック" w:hAnsi="游ゴシック" w:eastAsia="游ゴシック"/>
                <w:b/>
                <w:color w:val="2C5F2D"/>
                <w:sz w:val="19"/>
              </w:rPr>
              <w:t>182字</w:t>
            </w:r>
          </w:p>
        </w:tc>
        <w:tc>
          <w:tcPr>
            <w:tcW w:type="dxa" w:w="8277"/>
            <w:vAlign w:val="center"/>
          </w:tcPr>
          <w:p>
            <w:pPr>
              <w:spacing w:after="0" w:line="288" w:lineRule="auto"/>
            </w:pPr>
            <w:r/>
            <w:r>
              <w:rPr>
                <w:rFonts w:ascii="游明朝" w:hAnsi="游明朝" w:eastAsia="游明朝"/>
                <w:b w:val="0"/>
                <w:color w:val="23301F"/>
                <w:sz w:val="21"/>
              </w:rPr>
              <w:t>そう考える理由は二つある。一つ目は、小学生なのだから宗教や家がお寺などということを深く考えず、仲良く遊んだ方が良いと考えるからである。加えて、そのようなことに想像力を使うよりも、他のことに考えを巡らせるべきだ。二つ目は、大人の事情があったとしても、それは別に子どもの世界には関係がない。また、子どもの人生なのだから大人が思うことをやらせる必要がないと考えるからだ。</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表記・表現の直し</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3402"/>
        <w:gridCol w:w="3402"/>
        <w:gridCol w:w="2835"/>
      </w:tblGrid>
      <w:tr>
        <w:tc>
          <w:tcPr>
            <w:tcW w:type="dxa" w:w="3402"/>
            <w:shd w:val="clear" w:color="auto" w:fill="2C5F2D"/>
            <w:vAlign w:val="center"/>
          </w:tcPr>
          <w:p>
            <w:pPr>
              <w:spacing w:after="0" w:line="288" w:lineRule="auto"/>
              <w:jc w:val="center"/>
            </w:pPr>
            <w:r/>
            <w:r>
              <w:rPr>
                <w:rFonts w:ascii="游ゴシック" w:hAnsi="游ゴシック" w:eastAsia="游ゴシック"/>
                <w:b/>
                <w:color w:val="FFFFFF"/>
                <w:sz w:val="19"/>
              </w:rPr>
              <w:t>答案</w:t>
            </w:r>
          </w:p>
        </w:tc>
        <w:tc>
          <w:tcPr>
            <w:tcW w:type="dxa" w:w="3402"/>
            <w:shd w:val="clear" w:color="auto" w:fill="2C5F2D"/>
            <w:vAlign w:val="center"/>
          </w:tcPr>
          <w:p>
            <w:pPr>
              <w:spacing w:after="0" w:line="288" w:lineRule="auto"/>
              <w:jc w:val="center"/>
            </w:pPr>
            <w:r/>
            <w:r>
              <w:rPr>
                <w:rFonts w:ascii="游ゴシック" w:hAnsi="游ゴシック" w:eastAsia="游ゴシック"/>
                <w:b/>
                <w:color w:val="FFFFFF"/>
                <w:sz w:val="19"/>
              </w:rPr>
              <w:t>直し</w:t>
            </w:r>
          </w:p>
        </w:tc>
        <w:tc>
          <w:tcPr>
            <w:tcW w:type="dxa" w:w="2835"/>
            <w:shd w:val="clear" w:color="auto" w:fill="2C5F2D"/>
            <w:vAlign w:val="center"/>
          </w:tcPr>
          <w:p>
            <w:pPr>
              <w:spacing w:after="0" w:line="288" w:lineRule="auto"/>
              <w:jc w:val="center"/>
            </w:pPr>
            <w:r/>
            <w:r>
              <w:rPr>
                <w:rFonts w:ascii="游ゴシック" w:hAnsi="游ゴシック" w:eastAsia="游ゴシック"/>
                <w:b/>
                <w:color w:val="FFFFFF"/>
                <w:sz w:val="19"/>
              </w:rPr>
              <w:t>理由</w:t>
            </w:r>
          </w:p>
        </w:tc>
      </w:tr>
      <w:tr>
        <w:tc>
          <w:tcPr>
            <w:tcW w:type="dxa" w:w="3402"/>
            <w:vAlign w:val="center"/>
          </w:tcPr>
          <w:p>
            <w:pPr>
              <w:spacing w:after="0" w:line="288" w:lineRule="auto"/>
            </w:pPr>
            <w:r/>
            <w:r>
              <w:rPr>
                <w:rFonts w:ascii="游明朝" w:hAnsi="游明朝" w:eastAsia="游明朝"/>
                <w:b w:val="0"/>
                <w:color w:val="23301F"/>
                <w:sz w:val="19"/>
              </w:rPr>
              <w:t>立場や個性や事情を</w:t>
            </w:r>
          </w:p>
        </w:tc>
        <w:tc>
          <w:tcPr>
            <w:tcW w:type="dxa" w:w="3402"/>
            <w:vAlign w:val="center"/>
          </w:tcPr>
          <w:p>
            <w:pPr>
              <w:spacing w:after="0" w:line="288" w:lineRule="auto"/>
            </w:pPr>
            <w:r/>
            <w:r>
              <w:rPr>
                <w:rFonts w:ascii="游明朝" w:hAnsi="游明朝" w:eastAsia="游明朝"/>
                <w:b/>
                <w:color w:val="2C5F2D"/>
                <w:sz w:val="19"/>
              </w:rPr>
              <w:t>立場や個性、事情を</w:t>
            </w:r>
          </w:p>
        </w:tc>
        <w:tc>
          <w:tcPr>
            <w:tcW w:type="dxa" w:w="2835"/>
            <w:vAlign w:val="center"/>
          </w:tcPr>
          <w:p>
            <w:pPr>
              <w:spacing w:after="0" w:line="288" w:lineRule="auto"/>
            </w:pPr>
            <w:r/>
            <w:r>
              <w:rPr>
                <w:rFonts w:ascii="游ゴシック" w:hAnsi="游ゴシック" w:eastAsia="游ゴシック"/>
                <w:b w:val="0"/>
                <w:color w:val="23301F"/>
                <w:sz w:val="18"/>
              </w:rPr>
              <w:t>「や」の重ねすぎを避ける</w:t>
            </w:r>
          </w:p>
        </w:tc>
      </w:tr>
      <w:tr>
        <w:tc>
          <w:tcPr>
            <w:tcW w:type="dxa" w:w="3402"/>
            <w:vAlign w:val="center"/>
          </w:tcPr>
          <w:p>
            <w:pPr>
              <w:spacing w:after="0" w:line="288" w:lineRule="auto"/>
            </w:pPr>
            <w:r/>
            <w:r>
              <w:rPr>
                <w:rFonts w:ascii="游明朝" w:hAnsi="游明朝" w:eastAsia="游明朝"/>
                <w:b w:val="0"/>
                <w:color w:val="23301F"/>
                <w:sz w:val="19"/>
              </w:rPr>
              <w:t>「いま」を一緒に味わうことを考えている。</w:t>
            </w:r>
          </w:p>
        </w:tc>
        <w:tc>
          <w:tcPr>
            <w:tcW w:type="dxa" w:w="3402"/>
            <w:vAlign w:val="center"/>
          </w:tcPr>
          <w:p>
            <w:pPr>
              <w:spacing w:after="0" w:line="288" w:lineRule="auto"/>
            </w:pPr>
            <w:r/>
            <w:r>
              <w:rPr>
                <w:rFonts w:ascii="游明朝" w:hAnsi="游明朝" w:eastAsia="游明朝"/>
                <w:b/>
                <w:color w:val="2C5F2D"/>
                <w:sz w:val="19"/>
              </w:rPr>
              <w:t>「いま」を一緒に味わうことに使うべきだと考えている。</w:t>
            </w:r>
          </w:p>
        </w:tc>
        <w:tc>
          <w:tcPr>
            <w:tcW w:type="dxa" w:w="2835"/>
            <w:vAlign w:val="center"/>
          </w:tcPr>
          <w:p>
            <w:pPr>
              <w:spacing w:after="0" w:line="288" w:lineRule="auto"/>
            </w:pPr>
            <w:r/>
            <w:r>
              <w:rPr>
                <w:rFonts w:ascii="游ゴシック" w:hAnsi="游ゴシック" w:eastAsia="游ゴシック"/>
                <w:b w:val="0"/>
                <w:color w:val="23301F"/>
                <w:sz w:val="18"/>
              </w:rPr>
              <w:t>何を考えているのかが曖昧。主張の形にする</w:t>
            </w:r>
          </w:p>
        </w:tc>
      </w:tr>
      <w:tr>
        <w:tc>
          <w:tcPr>
            <w:tcW w:type="dxa" w:w="3402"/>
            <w:vAlign w:val="center"/>
          </w:tcPr>
          <w:p>
            <w:pPr>
              <w:spacing w:after="0" w:line="288" w:lineRule="auto"/>
            </w:pPr>
            <w:r/>
            <w:r>
              <w:rPr>
                <w:rFonts w:ascii="游明朝" w:hAnsi="游明朝" w:eastAsia="游明朝"/>
                <w:b w:val="0"/>
                <w:color w:val="23301F"/>
                <w:sz w:val="19"/>
              </w:rPr>
              <w:t>女の子も男の子も年齢も関係なく</w:t>
            </w:r>
          </w:p>
        </w:tc>
        <w:tc>
          <w:tcPr>
            <w:tcW w:type="dxa" w:w="3402"/>
            <w:vAlign w:val="center"/>
          </w:tcPr>
          <w:p>
            <w:pPr>
              <w:spacing w:after="0" w:line="288" w:lineRule="auto"/>
            </w:pPr>
            <w:r/>
            <w:r>
              <w:rPr>
                <w:rFonts w:ascii="游明朝" w:hAnsi="游明朝" w:eastAsia="游明朝"/>
                <w:b/>
                <w:color w:val="2C5F2D"/>
                <w:sz w:val="19"/>
              </w:rPr>
              <w:t>男の子も女の子も、年齢も関係なく</w:t>
            </w:r>
          </w:p>
        </w:tc>
        <w:tc>
          <w:tcPr>
            <w:tcW w:type="dxa" w:w="2835"/>
            <w:vAlign w:val="center"/>
          </w:tcPr>
          <w:p>
            <w:pPr>
              <w:spacing w:after="0" w:line="288" w:lineRule="auto"/>
            </w:pPr>
            <w:r/>
            <w:r>
              <w:rPr>
                <w:rFonts w:ascii="游ゴシック" w:hAnsi="游ゴシック" w:eastAsia="游ゴシック"/>
                <w:b w:val="0"/>
                <w:color w:val="23301F"/>
                <w:sz w:val="18"/>
              </w:rPr>
              <w:t>並べる言葉の種類をそろえる（人と属性が混在）</w:t>
            </w:r>
          </w:p>
        </w:tc>
      </w:tr>
      <w:tr>
        <w:tc>
          <w:tcPr>
            <w:tcW w:type="dxa" w:w="3402"/>
            <w:vAlign w:val="center"/>
          </w:tcPr>
          <w:p>
            <w:pPr>
              <w:spacing w:after="0" w:line="288" w:lineRule="auto"/>
            </w:pPr>
            <w:r/>
            <w:r>
              <w:rPr>
                <w:rFonts w:ascii="游明朝" w:hAnsi="游明朝" w:eastAsia="游明朝"/>
                <w:b w:val="0"/>
                <w:color w:val="23301F"/>
                <w:sz w:val="19"/>
              </w:rPr>
              <w:t>宗教や家がお寺などということを</w:t>
            </w:r>
          </w:p>
        </w:tc>
        <w:tc>
          <w:tcPr>
            <w:tcW w:type="dxa" w:w="3402"/>
            <w:vAlign w:val="center"/>
          </w:tcPr>
          <w:p>
            <w:pPr>
              <w:spacing w:after="0" w:line="288" w:lineRule="auto"/>
            </w:pPr>
            <w:r/>
            <w:r>
              <w:rPr>
                <w:rFonts w:ascii="游明朝" w:hAnsi="游明朝" w:eastAsia="游明朝"/>
                <w:b/>
                <w:color w:val="2C5F2D"/>
                <w:sz w:val="19"/>
              </w:rPr>
              <w:t>家の宗教などの事情を</w:t>
            </w:r>
          </w:p>
        </w:tc>
        <w:tc>
          <w:tcPr>
            <w:tcW w:type="dxa" w:w="2835"/>
            <w:vAlign w:val="center"/>
          </w:tcPr>
          <w:p>
            <w:pPr>
              <w:spacing w:after="0" w:line="288" w:lineRule="auto"/>
            </w:pPr>
            <w:r/>
            <w:r>
              <w:rPr>
                <w:rFonts w:ascii="游ゴシック" w:hAnsi="游ゴシック" w:eastAsia="游ゴシック"/>
                <w:b w:val="0"/>
                <w:color w:val="23301F"/>
                <w:sz w:val="18"/>
              </w:rPr>
              <w:t>話し言葉的で冗長</w:t>
            </w:r>
          </w:p>
        </w:tc>
      </w:tr>
      <w:tr>
        <w:tc>
          <w:tcPr>
            <w:tcW w:type="dxa" w:w="3402"/>
            <w:vAlign w:val="center"/>
          </w:tcPr>
          <w:p>
            <w:pPr>
              <w:spacing w:after="0" w:line="288" w:lineRule="auto"/>
            </w:pPr>
            <w:r/>
            <w:r>
              <w:rPr>
                <w:rFonts w:ascii="游明朝" w:hAnsi="游明朝" w:eastAsia="游明朝"/>
                <w:b w:val="0"/>
                <w:color w:val="23301F"/>
                <w:sz w:val="19"/>
              </w:rPr>
              <w:t>それは別に子どもの世界には関係がない。</w:t>
            </w:r>
          </w:p>
        </w:tc>
        <w:tc>
          <w:tcPr>
            <w:tcW w:type="dxa" w:w="3402"/>
            <w:vAlign w:val="center"/>
          </w:tcPr>
          <w:p>
            <w:pPr>
              <w:spacing w:after="0" w:line="288" w:lineRule="auto"/>
            </w:pPr>
            <w:r/>
            <w:r>
              <w:rPr>
                <w:rFonts w:ascii="游明朝" w:hAnsi="游明朝" w:eastAsia="游明朝"/>
                <w:b/>
                <w:color w:val="2C5F2D"/>
                <w:sz w:val="19"/>
              </w:rPr>
              <w:t>それを子どもの世界に持ち込むべきではない。</w:t>
            </w:r>
          </w:p>
        </w:tc>
        <w:tc>
          <w:tcPr>
            <w:tcW w:type="dxa" w:w="2835"/>
            <w:vAlign w:val="center"/>
          </w:tcPr>
          <w:p>
            <w:pPr>
              <w:spacing w:after="0" w:line="288" w:lineRule="auto"/>
            </w:pPr>
            <w:r/>
            <w:r>
              <w:rPr>
                <w:rFonts w:ascii="游ゴシック" w:hAnsi="游ゴシック" w:eastAsia="游ゴシック"/>
                <w:b w:val="0"/>
                <w:color w:val="23301F"/>
                <w:sz w:val="18"/>
              </w:rPr>
              <w:t>「別に」は話し言葉。理由の文の形（〜からである）にもそろえる</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構成の見直し（Q3 段落メモ）</w:t>
      </w:r>
    </w:p>
    <w:p>
      <w:pPr>
        <w:spacing w:after="80" w:before="0" w:line="300" w:lineRule="auto"/>
      </w:pPr>
      <w:r>
        <w:rPr>
          <w:rFonts w:ascii="游ゴシック" w:hAnsi="游ゴシック" w:eastAsia="游ゴシック"/>
          <w:b w:val="0"/>
          <w:color w:val="5B6B54"/>
          <w:sz w:val="19"/>
        </w:rPr>
        <w:t>左があなたの答案の骨組み、右がおすすめの骨組み。書く前にこのメモを作れば、構成は安定する。</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4819"/>
        <w:gridCol w:w="4819"/>
      </w:tblGrid>
      <w:tr>
        <w:tc>
          <w:tcPr>
            <w:tcW w:type="dxa" w:w="4819"/>
            <w:shd w:val="clear" w:color="auto" w:fill="2C5F2D"/>
            <w:vAlign w:val="center"/>
          </w:tcPr>
          <w:p>
            <w:pPr>
              <w:spacing w:after="0" w:line="288" w:lineRule="auto"/>
              <w:jc w:val="center"/>
            </w:pPr>
            <w:r/>
            <w:r>
              <w:rPr>
                <w:rFonts w:ascii="游ゴシック" w:hAnsi="游ゴシック" w:eastAsia="游ゴシック"/>
                <w:b/>
                <w:color w:val="FFFFFF"/>
                <w:sz w:val="19"/>
              </w:rPr>
              <w:t>あなたの答案</w:t>
            </w:r>
          </w:p>
        </w:tc>
        <w:tc>
          <w:tcPr>
            <w:tcW w:type="dxa" w:w="4819"/>
            <w:shd w:val="clear" w:color="auto" w:fill="D9782D"/>
            <w:vAlign w:val="center"/>
          </w:tcPr>
          <w:p>
            <w:pPr>
              <w:spacing w:after="0" w:line="288" w:lineRule="auto"/>
              <w:jc w:val="center"/>
            </w:pPr>
            <w:r/>
            <w:r>
              <w:rPr>
                <w:rFonts w:ascii="游ゴシック" w:hAnsi="游ゴシック" w:eastAsia="游ゴシック"/>
                <w:b/>
                <w:color w:val="FFFFFF"/>
                <w:sz w:val="19"/>
              </w:rPr>
              <w:t>おすすめの構成メモ</w:t>
            </w:r>
          </w:p>
        </w:tc>
      </w:tr>
      <w:tr>
        <w:tc>
          <w:tcPr>
            <w:tcW w:type="dxa" w:w="4819"/>
            <w:vAlign w:val="center"/>
          </w:tcPr>
          <w:p>
            <w:pPr>
              <w:spacing w:after="0" w:line="288" w:lineRule="auto"/>
            </w:pPr>
            <w:r/>
            <w:r>
              <w:rPr>
                <w:rFonts w:ascii="游ゴシック" w:hAnsi="游ゴシック" w:eastAsia="游ゴシック"/>
                <w:b w:val="0"/>
                <w:color w:val="23301F"/>
                <w:sz w:val="19"/>
              </w:rPr>
              <w:t>【第1段落】要約：想像力は事情を突き詰めるより「いま」を一緒に味わうことに</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【序論】要約：「いま」を一緒に味わう想像力（例：誰もが遊べる場）</w:t>
            </w:r>
          </w:p>
        </w:tc>
      </w:tr>
      <w:tr>
        <w:tc>
          <w:tcPr>
            <w:tcW w:type="dxa" w:w="4819"/>
            <w:vAlign w:val="center"/>
          </w:tcPr>
          <w:p>
            <w:pPr>
              <w:spacing w:after="0" w:line="288" w:lineRule="auto"/>
            </w:pPr>
            <w:r/>
            <w:r>
              <w:rPr>
                <w:rFonts w:ascii="游ゴシック" w:hAnsi="游ゴシック" w:eastAsia="游ゴシック"/>
                <w:b w:val="0"/>
                <w:color w:val="23301F"/>
                <w:sz w:val="19"/>
              </w:rPr>
              <w:t>【第2段落】主張：賛成</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【主張】賛成（一文）</w:t>
            </w:r>
          </w:p>
        </w:tc>
      </w:tr>
      <w:tr>
        <w:tc>
          <w:tcPr>
            <w:tcW w:type="dxa" w:w="4819"/>
            <w:vAlign w:val="center"/>
          </w:tcPr>
          <w:p>
            <w:pPr>
              <w:spacing w:after="0" w:line="288" w:lineRule="auto"/>
            </w:pPr>
            <w:r/>
            <w:r>
              <w:rPr>
                <w:rFonts w:ascii="游ゴシック" w:hAnsi="游ゴシック" w:eastAsia="游ゴシック"/>
                <w:b w:val="0"/>
                <w:color w:val="23301F"/>
                <w:sz w:val="19"/>
              </w:rPr>
              <w:t>【第3段落】理由①：小学生は事情を考えず仲良く遊ぶべき／理由②：大人の事情は子どもに関係ない（結論なし）</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【本論①】違いより一緒に楽しむ経験 → 相手を受け入れる力に（体験を一つ）</w:t>
            </w:r>
          </w:p>
        </w:tc>
      </w:tr>
      <w:tr>
        <w:tc>
          <w:tcPr>
            <w:tcW w:type="dxa" w:w="4819"/>
          </w:tcP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【本論②】大人の事情を持ち込むと人を属性で判断するように → 大人は場を整える役</w:t>
            </w:r>
          </w:p>
        </w:tc>
      </w:tr>
      <w:tr>
        <w:tc>
          <w:tcPr>
            <w:tcW w:type="dxa" w:w="4819"/>
          </w:tcP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【結論】想像力は「いま」をつくるために → 教育学科で学級づくりを学び、どの子も安心できる場をつくる教員に</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書き直し例（554字）</w:t>
      </w:r>
    </w:p>
    <w:p>
      <w:pPr>
        <w:spacing w:after="80" w:before="0" w:line="300" w:lineRule="auto"/>
      </w:pPr>
      <w:r>
        <w:rPr>
          <w:rFonts w:ascii="游ゴシック" w:hAnsi="游ゴシック" w:eastAsia="游ゴシック"/>
          <w:b w:val="0"/>
          <w:color w:val="5B6B54"/>
          <w:sz w:val="19"/>
        </w:rPr>
        <w:t>あなたの考えを生かしたまま直した一例。丸写しせず、どこが変わったかを比べて読むこと。</w:t>
      </w:r>
    </w:p>
    <w:tbl>
      <w:tblPr>
        <w:tblW w:w="9639" w:type="dxa"/>
        <w:jc w:val="center"/>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360"/>
        <w:gridCol w:w="8278"/>
      </w:tblGrid>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序論</w:t>
            </w:r>
          </w:p>
          <w:p>
            <w:pPr>
              <w:spacing w:after="0" w:line="288" w:lineRule="auto"/>
            </w:pPr>
            <w:r>
              <w:rPr>
                <w:rFonts w:ascii="游ゴシック" w:hAnsi="游ゴシック" w:eastAsia="游ゴシック"/>
                <w:b/>
                <w:color w:val="2C5F2D"/>
                <w:sz w:val="19"/>
              </w:rPr>
              <w:t>120字</w:t>
            </w:r>
          </w:p>
        </w:tc>
        <w:tc>
          <w:tcPr>
            <w:tcW w:type="dxa" w:w="8277"/>
            <w:vAlign w:val="center"/>
          </w:tcPr>
          <w:p>
            <w:pPr>
              <w:spacing w:after="0" w:line="288" w:lineRule="auto"/>
            </w:pPr>
            <w:r/>
            <w:r>
              <w:rPr>
                <w:rFonts w:ascii="游明朝" w:hAnsi="游明朝" w:eastAsia="游明朝"/>
                <w:b w:val="0"/>
                <w:color w:val="23301F"/>
                <w:sz w:val="21"/>
              </w:rPr>
              <w:t>筆者は「想像力の使い方」について、相手の立場や事情を突き詰めて考えるよりも、「いま」を一緒に味わうことに使うべきだと述べている。身体の不自由な子も、男の子も女の子も、年齢も関係なく、みんなで遊べる場をつくっていたという例がそれを示してい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主張</w:t>
            </w:r>
          </w:p>
          <w:p>
            <w:pPr>
              <w:spacing w:after="0" w:line="288" w:lineRule="auto"/>
            </w:pPr>
            <w:r>
              <w:rPr>
                <w:rFonts w:ascii="游ゴシック" w:hAnsi="游ゴシック" w:eastAsia="游ゴシック"/>
                <w:b/>
                <w:color w:val="2C5F2D"/>
                <w:sz w:val="19"/>
              </w:rPr>
              <w:t>25字</w:t>
            </w:r>
          </w:p>
        </w:tc>
        <w:tc>
          <w:tcPr>
            <w:tcW w:type="dxa" w:w="8277"/>
            <w:vAlign w:val="center"/>
          </w:tcPr>
          <w:p>
            <w:pPr>
              <w:spacing w:after="0" w:line="288" w:lineRule="auto"/>
            </w:pPr>
            <w:r/>
            <w:r>
              <w:rPr>
                <w:rFonts w:ascii="游明朝" w:hAnsi="游明朝" w:eastAsia="游明朝"/>
                <w:b w:val="0"/>
                <w:color w:val="23301F"/>
                <w:sz w:val="21"/>
              </w:rPr>
              <w:t>私は、この筆者の考えに賛成である。理由は二つある。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本論①</w:t>
            </w:r>
          </w:p>
          <w:p>
            <w:pPr>
              <w:spacing w:after="0" w:line="288" w:lineRule="auto"/>
            </w:pPr>
            <w:r>
              <w:rPr>
                <w:rFonts w:ascii="游ゴシック" w:hAnsi="游ゴシック" w:eastAsia="游ゴシック"/>
                <w:b/>
                <w:color w:val="2C5F2D"/>
                <w:sz w:val="19"/>
              </w:rPr>
              <w:t>155字</w:t>
            </w:r>
          </w:p>
        </w:tc>
        <w:tc>
          <w:tcPr>
            <w:tcW w:type="dxa" w:w="8277"/>
            <w:vAlign w:val="center"/>
          </w:tcPr>
          <w:p>
            <w:pPr>
              <w:spacing w:after="0" w:line="288" w:lineRule="auto"/>
            </w:pPr>
            <w:r/>
            <w:r>
              <w:rPr>
                <w:rFonts w:ascii="游明朝" w:hAnsi="游明朝" w:eastAsia="游明朝"/>
                <w:b w:val="0"/>
                <w:color w:val="23301F"/>
                <w:sz w:val="21"/>
              </w:rPr>
              <w:t>一つ目は、子どもにとって大切なのは、違いを意識することより、同じ時間を楽しむ経験だからである。家の宗教や事情を深く考えすぎると、かえって相手との間に壁をつくってしまう。違いがあっても一緒に笑い合えた経験こそが、相手を自然に受け入れる力になると考える。違いへの理解は、一緒に過ごす中で後から育っていくものであ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本論②</w:t>
            </w:r>
          </w:p>
          <w:p>
            <w:pPr>
              <w:spacing w:after="0" w:line="288" w:lineRule="auto"/>
            </w:pPr>
            <w:r>
              <w:rPr>
                <w:rFonts w:ascii="游ゴシック" w:hAnsi="游ゴシック" w:eastAsia="游ゴシック"/>
                <w:b/>
                <w:color w:val="2C5F2D"/>
                <w:sz w:val="19"/>
              </w:rPr>
              <w:t>136字</w:t>
            </w:r>
          </w:p>
        </w:tc>
        <w:tc>
          <w:tcPr>
            <w:tcW w:type="dxa" w:w="8277"/>
            <w:vAlign w:val="center"/>
          </w:tcPr>
          <w:p>
            <w:pPr>
              <w:spacing w:after="0" w:line="288" w:lineRule="auto"/>
            </w:pPr>
            <w:r/>
            <w:r>
              <w:rPr>
                <w:rFonts w:ascii="游明朝" w:hAnsi="游明朝" w:eastAsia="游明朝"/>
                <w:b w:val="0"/>
                <w:color w:val="23301F"/>
                <w:sz w:val="21"/>
              </w:rPr>
              <w:t>二つ目は、大人の事情を子どもの世界に持ち込むべきではないからである。大人の都合で遊ぶ相手を選ばせれば、子どもは人を立場や属性で判断することを覚えてしまう。子どもが自分で関係を築ける場を守ることが、大人の役割である。大人は口を出すより、遊びの場を整えることに力を注ぐべきだ。</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結論</w:t>
            </w:r>
          </w:p>
          <w:p>
            <w:pPr>
              <w:spacing w:after="0" w:line="288" w:lineRule="auto"/>
            </w:pPr>
            <w:r>
              <w:rPr>
                <w:rFonts w:ascii="游ゴシック" w:hAnsi="游ゴシック" w:eastAsia="游ゴシック"/>
                <w:b/>
                <w:color w:val="2C5F2D"/>
                <w:sz w:val="19"/>
              </w:rPr>
              <w:t>118字</w:t>
            </w:r>
          </w:p>
        </w:tc>
        <w:tc>
          <w:tcPr>
            <w:tcW w:type="dxa" w:w="8277"/>
            <w:vAlign w:val="center"/>
          </w:tcPr>
          <w:p>
            <w:pPr>
              <w:spacing w:after="0" w:line="288" w:lineRule="auto"/>
            </w:pPr>
            <w:r/>
            <w:r>
              <w:rPr>
                <w:rFonts w:ascii="游明朝" w:hAnsi="游明朝" w:eastAsia="游明朝"/>
                <w:b w:val="0"/>
                <w:color w:val="23301F"/>
                <w:sz w:val="21"/>
              </w:rPr>
              <w:t>以上より、想像力は相手を分けるためではなく、みんなが一緒に過ごせる「いま」をつくるために使うべきである。私は教育学科で子どもの発達や学級づくりを学び、障害の有無や性別に関係なく、どの子も安心して一緒に過ごせる場をつくれる教員になりたい。</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アドミッションポリシーとのつながり</w:t>
      </w:r>
    </w:p>
    <w:p>
      <w:pPr>
        <w:spacing w:after="40" w:before="0" w:line="300" w:lineRule="auto"/>
        <w:ind w:left="227" w:hanging="227"/>
      </w:pPr>
      <w:r>
        <w:rPr>
          <w:rFonts w:ascii="游ゴシック" w:hAnsi="游ゴシック" w:eastAsia="游ゴシック"/>
          <w:b/>
          <w:color w:val="23301F"/>
          <w:sz w:val="21"/>
        </w:rPr>
        <w:t>・</w:t>
      </w:r>
      <w:r>
        <w:rPr>
          <w:rFonts w:ascii="游ゴシック" w:hAnsi="游ゴシック" w:eastAsia="游ゴシック"/>
          <w:b w:val="0"/>
          <w:color w:val="23301F"/>
          <w:sz w:val="21"/>
        </w:rPr>
        <w:t>大学全体：建学の精神・教育理念に共感し、学問への意欲と、多様性・主体性への姿勢を持つ学生</w:t>
      </w:r>
    </w:p>
    <w:p>
      <w:pPr>
        <w:spacing w:after="40" w:before="0" w:line="300" w:lineRule="auto"/>
        <w:ind w:left="227" w:hanging="227"/>
      </w:pPr>
      <w:r>
        <w:rPr>
          <w:rFonts w:ascii="游ゴシック" w:hAnsi="游ゴシック" w:eastAsia="游ゴシック"/>
          <w:b/>
          <w:color w:val="23301F"/>
          <w:sz w:val="21"/>
        </w:rPr>
        <w:t>・</w:t>
      </w:r>
      <w:r>
        <w:rPr>
          <w:rFonts w:ascii="游ゴシック" w:hAnsi="游ゴシック" w:eastAsia="游ゴシック"/>
          <w:b w:val="0"/>
          <w:color w:val="23301F"/>
          <w:sz w:val="21"/>
        </w:rPr>
        <w:t>文学部 教育学科：本学の教育の理念を理解し、学ぶ意欲が高く、学科の求める学生像に合う学生を選抜（学科固有の方針本文は未確認）</w:t>
      </w:r>
    </w:p>
    <w:p>
      <w:pPr>
        <w:spacing w:after="40" w:before="40" w:line="300" w:lineRule="auto"/>
      </w:pPr>
      <w:r>
        <w:rPr>
          <w:rFonts w:ascii="游ゴシック" w:hAnsi="游ゴシック" w:eastAsia="游ゴシック"/>
          <w:b w:val="0"/>
          <w:color w:val="23301F"/>
          <w:sz w:val="21"/>
        </w:rPr>
        <w:t>答案には教育への言及がない。教育学科の小論文では「教員としてどう関わるか」「何を学びたいか」を結論に入れることが、学ぶ意欲と学科との適合を示す一番確かな方法である。</w:t>
      </w:r>
    </w:p>
    <w:p>
      <w:pPr>
        <w:spacing w:after="80" w:before="0" w:line="300" w:lineRule="auto"/>
      </w:pPr>
      <w:r>
        <w:rPr>
          <w:rFonts w:ascii="游ゴシック" w:hAnsi="游ゴシック" w:eastAsia="游ゴシック"/>
          <w:b w:val="0"/>
          <w:color w:val="5B6B54"/>
          <w:sz w:val="16"/>
        </w:rPr>
        <w:t>出典：https://www.kokushikan.ac.jp/admission/undergraduate/guidebook/docs/admission_guidebook_2026.pdf　https://contact.kokushikan.ac.jp/faculty/Letters/about/file/Letters_education_AP.pdf（本文未確認）</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次回の課題</w:t>
      </w:r>
    </w:p>
    <w:p>
      <w:pPr>
        <w:spacing w:after="40" w:before="0" w:line="300" w:lineRule="auto"/>
      </w:pPr>
      <w:r>
        <w:rPr>
          <w:rFonts w:ascii="游ゴシック" w:hAnsi="游ゴシック" w:eastAsia="游ゴシック"/>
          <w:b/>
          <w:color w:val="D9782D"/>
          <w:sz w:val="21"/>
        </w:rPr>
        <w:t>1．</w:t>
      </w:r>
      <w:r>
        <w:rPr>
          <w:rFonts w:ascii="游ゴシック" w:hAnsi="游ゴシック" w:eastAsia="游ゴシック"/>
          <w:b w:val="0"/>
          <w:color w:val="23301F"/>
          <w:sz w:val="21"/>
        </w:rPr>
        <w:t>どの答案でも、最後に「以上より〜。私は教育学科で〜を学び、〜な教員になりたい」の結論段落を書く</w:t>
      </w:r>
    </w:p>
    <w:p>
      <w:pPr>
        <w:spacing w:after="40" w:before="0" w:line="300" w:lineRule="auto"/>
      </w:pPr>
      <w:r>
        <w:rPr>
          <w:rFonts w:ascii="游ゴシック" w:hAnsi="游ゴシック" w:eastAsia="游ゴシック"/>
          <w:b/>
          <w:color w:val="D9782D"/>
          <w:sz w:val="21"/>
        </w:rPr>
        <w:t>2．</w:t>
      </w:r>
      <w:r>
        <w:rPr>
          <w:rFonts w:ascii="游ゴシック" w:hAnsi="游ゴシック" w:eastAsia="游ゴシック"/>
          <w:b w:val="0"/>
          <w:color w:val="23301F"/>
          <w:sz w:val="21"/>
        </w:rPr>
        <w:t>理由には自分の体験を一つ入れる（小・中学校、部活動、委員会など）</w:t>
      </w:r>
    </w:p>
    <w:p>
      <w:pPr>
        <w:spacing w:after="40" w:before="0" w:line="300" w:lineRule="auto"/>
      </w:pPr>
      <w:r>
        <w:rPr>
          <w:rFonts w:ascii="游ゴシック" w:hAnsi="游ゴシック" w:eastAsia="游ゴシック"/>
          <w:b/>
          <w:color w:val="D9782D"/>
          <w:sz w:val="21"/>
        </w:rPr>
        <w:t>3．</w:t>
      </w:r>
      <w:r>
        <w:rPr>
          <w:rFonts w:ascii="游ゴシック" w:hAnsi="游ゴシック" w:eastAsia="游ゴシック"/>
          <w:b w:val="0"/>
          <w:color w:val="23301F"/>
          <w:sz w:val="21"/>
        </w:rPr>
        <w:t>600字程度なら540字以上を目標に、原稿用紙の2枚目まで書き切る</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color w:val="5B6B54"/>
        <w:sz w:val="16"/>
      </w:rPr>
      <w:t>小論文添削（ショー）</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