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石川陽太</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文学部 教育学科 総合型選抜（R8 AOⅣ期 過去問・3/1）</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社会の諸問題を自分の問題として考えること</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（推定）社会の諸問題を自分の問題として考えることの重要性について、あなたの考えを述べなさい。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320字（9割（540字）に届いていない）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55</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10 / 20</w:t>
            </w:r>
          </w:p>
        </w:tc>
        <w:tc>
          <w:tcPr>
            <w:tcW w:type="dxa" w:w="6350"/>
            <w:vAlign w:val="center"/>
          </w:tcPr>
          <w:p>
            <w:pPr>
              <w:spacing w:after="0" w:line="288" w:lineRule="auto"/>
            </w:pPr>
            <w:r/>
            <w:r>
              <w:rPr>
                <w:rFonts w:ascii="游ゴシック" w:hAnsi="游ゴシック" w:eastAsia="游ゴシック"/>
                <w:b w:val="0"/>
                <w:color w:val="23301F"/>
                <w:sz w:val="19"/>
              </w:rPr>
              <w:t>「重要性は何か」と問いを立てたのに、「自分の問題として考えることが2つある」と答えがずれている。重要性（なぜ大切か）への答えがない。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一つ目・二つ目と分ける構成は良い。序論で主張を示していないため、例が何を証明するのかが分からない。</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14 / 20</w:t>
            </w:r>
          </w:p>
        </w:tc>
        <w:tc>
          <w:tcPr>
            <w:tcW w:type="dxa" w:w="6350"/>
            <w:vAlign w:val="center"/>
          </w:tcPr>
          <w:p>
            <w:pPr>
              <w:spacing w:after="0" w:line="288" w:lineRule="auto"/>
            </w:pPr>
            <w:r/>
            <w:r>
              <w:rPr>
                <w:rFonts w:ascii="游ゴシック" w:hAnsi="游ゴシック" w:eastAsia="游ゴシック"/>
                <w:b w:val="0"/>
                <w:color w:val="23301F"/>
                <w:sz w:val="19"/>
              </w:rPr>
              <w:t>省エネ、マイバッグ、環境委員の啓発と、実際に行動した具体例が豊富で、4本の中でいちばん説得力のある材料。</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いじめという教育問題を取り上げている点は教育学科に合う。後半で教員としての考えが書けているかは未確認。</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「世界全員」は「世界中の人々」。「マイバック」は「マイバッグ」。「2つ」と「一つ目」で数字の表記が混在。字数は320字（後半未確認）。</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は未確認のため、字数は解説サイトの「600字程度」を想定し、設問は答案から推定した。答案はページの途中で切れており、後半は未確認。書かれている部分だけで評価した（字数の評価は暫定）。省エネやマイバッグ、環境委員としての啓発など、自分が実際に行動した具体例を書けている点はとても良い。しかし、設問の「重要性」に答えていない。序論で「自分の問題として捉えたときに初めて人は行動できるから重要だ」と答えを示せば、具体例が主張を支える根拠として生きてく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省エネ・マイバッグ・環境委員の啓発と、実際に行動した具体例が豊富</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環境といじめという二つの観点に分けて整理できている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いじめという教育問題を取り上げ、教育学科の志望とつなげやすい題材を選べている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設問の「重要性」に答える主張を序論に書く</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「私は、自分の問題として考えることが2つある。」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問いは「なぜ重要か」。「自分の問題として捉えたときに初めて人は行動を起こせるから重要である」のように、重要性そのものを一文で答える。</w:t>
      </w:r>
    </w:p>
    <w:p>
      <w:pPr>
        <w:spacing w:after="20" w:before="60" w:line="300" w:lineRule="auto"/>
      </w:pPr>
      <w:r>
        <w:rPr>
          <w:rFonts w:ascii="游ゴシック" w:hAnsi="游ゴシック" w:eastAsia="游ゴシック"/>
          <w:b/>
          <w:color w:val="17321A"/>
          <w:sz w:val="21"/>
        </w:rPr>
        <w:t>2. 例を主張に結びつける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「その他に、中学時代環境委員として啓発も行うことができた。」</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行動を並べたあとに「自分のこととして考えたから行動できた」とまとめ、主張の根拠であることを示す。</w:t>
      </w:r>
    </w:p>
    <w:p>
      <w:pPr>
        <w:spacing w:after="20" w:before="60" w:line="300" w:lineRule="auto"/>
      </w:pPr>
      <w:r>
        <w:rPr>
          <w:rFonts w:ascii="游ゴシック" w:hAnsi="游ゴシック" w:eastAsia="游ゴシック"/>
          <w:b/>
          <w:color w:val="17321A"/>
          <w:sz w:val="21"/>
        </w:rPr>
        <w:t>3. 二つ目（いじめ）で教員の視点を出す</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「私が中学生の時いじめを受けている子がいた。」</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後半があれば確認したい。「周りが自分には関係ないと考えるといじめは見過ごされる」と問題の構造を示し、教員としてどう向き合うかにつなげる。</w:t>
      </w:r>
    </w:p>
    <w:p>
      <w:pPr>
        <w:spacing w:after="20" w:before="60" w:line="300" w:lineRule="auto"/>
      </w:pPr>
      <w:r>
        <w:rPr>
          <w:rFonts w:ascii="游ゴシック" w:hAnsi="游ゴシック" w:eastAsia="游ゴシック"/>
          <w:b/>
          <w:color w:val="17321A"/>
          <w:sz w:val="21"/>
        </w:rPr>
        <w:t>4. 表記をそろえる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「2つ」と「一つ目」のように数字の書き方が混ざっている。横書きでも漢数字に統一するとよい。</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あなたの答案（320字）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第1段落</w:t>
            </w:r>
          </w:p>
          <w:p>
            <w:pPr>
              <w:spacing w:after="0" w:line="288" w:lineRule="auto"/>
            </w:pPr>
            <w:r>
              <w:rPr>
                <w:rFonts w:ascii="游ゴシック" w:hAnsi="游ゴシック" w:eastAsia="游ゴシック"/>
                <w:b/>
                <w:color w:val="2C5F2D"/>
                <w:sz w:val="19"/>
              </w:rPr>
              <w:t>53字</w:t>
            </w:r>
          </w:p>
        </w:tc>
        <w:tc>
          <w:tcPr>
            <w:tcW w:type="dxa" w:w="8277"/>
            <w:vAlign w:val="center"/>
          </w:tcPr>
          <w:p>
            <w:pPr>
              <w:spacing w:after="0" w:line="288" w:lineRule="auto"/>
            </w:pPr>
            <w:r/>
            <w:r>
              <w:rPr>
                <w:rFonts w:ascii="游明朝" w:hAnsi="游明朝" w:eastAsia="游明朝"/>
                <w:b w:val="0"/>
                <w:color w:val="23301F"/>
                <w:sz w:val="21"/>
              </w:rPr>
              <w:t>社会の諸問題を自分の問題として考えることの重要性は何だろうか。私は、自分の問題として考えることが2つある。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第2段落</w:t>
            </w:r>
          </w:p>
          <w:p>
            <w:pPr>
              <w:spacing w:after="0" w:line="288" w:lineRule="auto"/>
            </w:pPr>
            <w:r>
              <w:rPr>
                <w:rFonts w:ascii="游ゴシック" w:hAnsi="游ゴシック" w:eastAsia="游ゴシック"/>
                <w:b/>
                <w:color w:val="2C5F2D"/>
                <w:sz w:val="19"/>
              </w:rPr>
              <w:t>212字</w:t>
            </w:r>
          </w:p>
        </w:tc>
        <w:tc>
          <w:tcPr>
            <w:tcW w:type="dxa" w:w="8277"/>
            <w:vAlign w:val="center"/>
          </w:tcPr>
          <w:p>
            <w:pPr>
              <w:spacing w:after="0" w:line="288" w:lineRule="auto"/>
            </w:pPr>
            <w:r/>
            <w:r>
              <w:rPr>
                <w:rFonts w:ascii="游明朝" w:hAnsi="游明朝" w:eastAsia="游明朝"/>
                <w:b w:val="0"/>
                <w:color w:val="23301F"/>
                <w:sz w:val="21"/>
              </w:rPr>
              <w:t>一つ目は、環境についてである。現在、地球温暖化や環境について問題になっている。例えば、私は温室効果ガスを減少させることは、世界全員の問題でもあり、一人ひとりの問題であると考える。自分の問題としてさまざまなことを考え、実行した。私は、温室効果ガスを減少させるために、エアコンや暖房での省エネを実践した。また、プラスチックごみを減らすためにマイバックを持参するようにした。その他に、中学時代環境委員として啓発も行うことができた。</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第3段落</w:t>
            </w:r>
          </w:p>
          <w:p>
            <w:pPr>
              <w:spacing w:after="0" w:line="288" w:lineRule="auto"/>
            </w:pPr>
            <w:r>
              <w:rPr>
                <w:rFonts w:ascii="游ゴシック" w:hAnsi="游ゴシック" w:eastAsia="游ゴシック"/>
                <w:b/>
                <w:color w:val="2C5F2D"/>
                <w:sz w:val="19"/>
              </w:rPr>
              <w:t>55字</w:t>
            </w:r>
          </w:p>
        </w:tc>
        <w:tc>
          <w:tcPr>
            <w:tcW w:type="dxa" w:w="8277"/>
            <w:vAlign w:val="center"/>
          </w:tcPr>
          <w:p>
            <w:pPr>
              <w:spacing w:after="0" w:line="288" w:lineRule="auto"/>
            </w:pPr>
            <w:r/>
            <w:r>
              <w:rPr>
                <w:rFonts w:ascii="游明朝" w:hAnsi="游明朝" w:eastAsia="游明朝"/>
                <w:b w:val="0"/>
                <w:color w:val="23301F"/>
                <w:sz w:val="21"/>
              </w:rPr>
              <w:t>二つ目は、いじめなどの教育問題についてである。私が中学生の時いじめを受けている子がいた。その〔以下、続きなし〕</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私は、自分の問題として考えることが2つある。</w:t>
            </w:r>
          </w:p>
        </w:tc>
        <w:tc>
          <w:tcPr>
            <w:tcW w:type="dxa" w:w="3402"/>
            <w:vAlign w:val="center"/>
          </w:tcPr>
          <w:p>
            <w:pPr>
              <w:spacing w:after="0" w:line="288" w:lineRule="auto"/>
            </w:pPr>
            <w:r/>
            <w:r>
              <w:rPr>
                <w:rFonts w:ascii="游明朝" w:hAnsi="游明朝" w:eastAsia="游明朝"/>
                <w:b/>
                <w:color w:val="2C5F2D"/>
                <w:sz w:val="19"/>
              </w:rPr>
              <w:t>私は、問題を自分のこととして捉えたときに初めて、人は行動を起こせるからだと考える。</w:t>
            </w:r>
          </w:p>
        </w:tc>
        <w:tc>
          <w:tcPr>
            <w:tcW w:type="dxa" w:w="2835"/>
            <w:vAlign w:val="center"/>
          </w:tcPr>
          <w:p>
            <w:pPr>
              <w:spacing w:after="0" w:line="288" w:lineRule="auto"/>
            </w:pPr>
            <w:r/>
            <w:r>
              <w:rPr>
                <w:rFonts w:ascii="游ゴシック" w:hAnsi="游ゴシック" w:eastAsia="游ゴシック"/>
                <w:b w:val="0"/>
                <w:color w:val="23301F"/>
                <w:sz w:val="18"/>
              </w:rPr>
              <w:t>設問（重要性）への答えになっていない</w:t>
            </w:r>
          </w:p>
        </w:tc>
      </w:tr>
      <w:tr>
        <w:tc>
          <w:tcPr>
            <w:tcW w:type="dxa" w:w="3402"/>
            <w:vAlign w:val="center"/>
          </w:tcPr>
          <w:p>
            <w:pPr>
              <w:spacing w:after="0" w:line="288" w:lineRule="auto"/>
            </w:pPr>
            <w:r/>
            <w:r>
              <w:rPr>
                <w:rFonts w:ascii="游明朝" w:hAnsi="游明朝" w:eastAsia="游明朝"/>
                <w:b w:val="0"/>
                <w:color w:val="23301F"/>
                <w:sz w:val="19"/>
              </w:rPr>
              <w:t>地球温暖化や環境について問題になっている。</w:t>
            </w:r>
          </w:p>
        </w:tc>
        <w:tc>
          <w:tcPr>
            <w:tcW w:type="dxa" w:w="3402"/>
            <w:vAlign w:val="center"/>
          </w:tcPr>
          <w:p>
            <w:pPr>
              <w:spacing w:after="0" w:line="288" w:lineRule="auto"/>
            </w:pPr>
            <w:r/>
            <w:r>
              <w:rPr>
                <w:rFonts w:ascii="游明朝" w:hAnsi="游明朝" w:eastAsia="游明朝"/>
                <w:b/>
                <w:color w:val="2C5F2D"/>
                <w:sz w:val="19"/>
              </w:rPr>
              <w:t>地球温暖化などの環境問題が深刻になっている。</w:t>
            </w:r>
          </w:p>
        </w:tc>
        <w:tc>
          <w:tcPr>
            <w:tcW w:type="dxa" w:w="2835"/>
            <w:vAlign w:val="center"/>
          </w:tcPr>
          <w:p>
            <w:pPr>
              <w:spacing w:after="0" w:line="288" w:lineRule="auto"/>
            </w:pPr>
            <w:r/>
            <w:r>
              <w:rPr>
                <w:rFonts w:ascii="游ゴシック" w:hAnsi="游ゴシック" w:eastAsia="游ゴシック"/>
                <w:b w:val="0"/>
                <w:color w:val="23301F"/>
                <w:sz w:val="18"/>
              </w:rPr>
              <w:t>「環境について問題になっている」は不自然</w:t>
            </w:r>
          </w:p>
        </w:tc>
      </w:tr>
      <w:tr>
        <w:tc>
          <w:tcPr>
            <w:tcW w:type="dxa" w:w="3402"/>
            <w:vAlign w:val="center"/>
          </w:tcPr>
          <w:p>
            <w:pPr>
              <w:spacing w:after="0" w:line="288" w:lineRule="auto"/>
            </w:pPr>
            <w:r/>
            <w:r>
              <w:rPr>
                <w:rFonts w:ascii="游明朝" w:hAnsi="游明朝" w:eastAsia="游明朝"/>
                <w:b w:val="0"/>
                <w:color w:val="23301F"/>
                <w:sz w:val="19"/>
              </w:rPr>
              <w:t>世界全員の問題</w:t>
            </w:r>
          </w:p>
        </w:tc>
        <w:tc>
          <w:tcPr>
            <w:tcW w:type="dxa" w:w="3402"/>
            <w:vAlign w:val="center"/>
          </w:tcPr>
          <w:p>
            <w:pPr>
              <w:spacing w:after="0" w:line="288" w:lineRule="auto"/>
            </w:pPr>
            <w:r/>
            <w:r>
              <w:rPr>
                <w:rFonts w:ascii="游明朝" w:hAnsi="游明朝" w:eastAsia="游明朝"/>
                <w:b/>
                <w:color w:val="2C5F2D"/>
                <w:sz w:val="19"/>
              </w:rPr>
              <w:t>世界中の人々の問題</w:t>
            </w:r>
          </w:p>
        </w:tc>
        <w:tc>
          <w:tcPr>
            <w:tcW w:type="dxa" w:w="2835"/>
            <w:vAlign w:val="center"/>
          </w:tcPr>
          <w:p>
            <w:pPr>
              <w:spacing w:after="0" w:line="288" w:lineRule="auto"/>
            </w:pPr>
            <w:r/>
            <w:r>
              <w:rPr>
                <w:rFonts w:ascii="游ゴシック" w:hAnsi="游ゴシック" w:eastAsia="游ゴシック"/>
                <w:b w:val="0"/>
                <w:color w:val="23301F"/>
                <w:sz w:val="18"/>
              </w:rPr>
              <w:t>言葉の選び方</w:t>
            </w:r>
          </w:p>
        </w:tc>
      </w:tr>
      <w:tr>
        <w:tc>
          <w:tcPr>
            <w:tcW w:type="dxa" w:w="3402"/>
            <w:vAlign w:val="center"/>
          </w:tcPr>
          <w:p>
            <w:pPr>
              <w:spacing w:after="0" w:line="288" w:lineRule="auto"/>
            </w:pPr>
            <w:r/>
            <w:r>
              <w:rPr>
                <w:rFonts w:ascii="游明朝" w:hAnsi="游明朝" w:eastAsia="游明朝"/>
                <w:b w:val="0"/>
                <w:color w:val="23301F"/>
                <w:sz w:val="19"/>
              </w:rPr>
              <w:t>マイバック</w:t>
            </w:r>
          </w:p>
        </w:tc>
        <w:tc>
          <w:tcPr>
            <w:tcW w:type="dxa" w:w="3402"/>
            <w:vAlign w:val="center"/>
          </w:tcPr>
          <w:p>
            <w:pPr>
              <w:spacing w:after="0" w:line="288" w:lineRule="auto"/>
            </w:pPr>
            <w:r/>
            <w:r>
              <w:rPr>
                <w:rFonts w:ascii="游明朝" w:hAnsi="游明朝" w:eastAsia="游明朝"/>
                <w:b/>
                <w:color w:val="2C5F2D"/>
                <w:sz w:val="19"/>
              </w:rPr>
              <w:t>マイバッグ</w:t>
            </w:r>
          </w:p>
        </w:tc>
        <w:tc>
          <w:tcPr>
            <w:tcW w:type="dxa" w:w="2835"/>
            <w:vAlign w:val="center"/>
          </w:tcPr>
          <w:p>
            <w:pPr>
              <w:spacing w:after="0" w:line="288" w:lineRule="auto"/>
            </w:pPr>
            <w:r/>
            <w:r>
              <w:rPr>
                <w:rFonts w:ascii="游ゴシック" w:hAnsi="游ゴシック" w:eastAsia="游ゴシック"/>
                <w:b w:val="0"/>
                <w:color w:val="23301F"/>
                <w:sz w:val="18"/>
              </w:rPr>
              <w:t>表記の誤り</w:t>
            </w:r>
          </w:p>
        </w:tc>
      </w:tr>
      <w:tr>
        <w:tc>
          <w:tcPr>
            <w:tcW w:type="dxa" w:w="3402"/>
            <w:vAlign w:val="center"/>
          </w:tcPr>
          <w:p>
            <w:pPr>
              <w:spacing w:after="0" w:line="288" w:lineRule="auto"/>
            </w:pPr>
            <w:r/>
            <w:r>
              <w:rPr>
                <w:rFonts w:ascii="游明朝" w:hAnsi="游明朝" w:eastAsia="游明朝"/>
                <w:b w:val="0"/>
                <w:color w:val="23301F"/>
                <w:sz w:val="19"/>
              </w:rPr>
              <w:t>その他に、中学時代環境委員として</w:t>
            </w:r>
          </w:p>
        </w:tc>
        <w:tc>
          <w:tcPr>
            <w:tcW w:type="dxa" w:w="3402"/>
            <w:vAlign w:val="center"/>
          </w:tcPr>
          <w:p>
            <w:pPr>
              <w:spacing w:after="0" w:line="288" w:lineRule="auto"/>
            </w:pPr>
            <w:r/>
            <w:r>
              <w:rPr>
                <w:rFonts w:ascii="游明朝" w:hAnsi="游明朝" w:eastAsia="游明朝"/>
                <w:b/>
                <w:color w:val="2C5F2D"/>
                <w:sz w:val="19"/>
              </w:rPr>
              <w:t>さらに、中学時代には環境委員として</w:t>
            </w:r>
          </w:p>
        </w:tc>
        <w:tc>
          <w:tcPr>
            <w:tcW w:type="dxa" w:w="2835"/>
            <w:vAlign w:val="center"/>
          </w:tcPr>
          <w:p>
            <w:pPr>
              <w:spacing w:after="0" w:line="288" w:lineRule="auto"/>
            </w:pPr>
            <w:r/>
            <w:r>
              <w:rPr>
                <w:rFonts w:ascii="游ゴシック" w:hAnsi="游ゴシック" w:eastAsia="游ゴシック"/>
                <w:b w:val="0"/>
                <w:color w:val="23301F"/>
                <w:sz w:val="18"/>
              </w:rPr>
              <w:t>つなぎの言葉と助詞を補う</w:t>
            </w:r>
          </w:p>
        </w:tc>
      </w:tr>
      <w:tr>
        <w:tc>
          <w:tcPr>
            <w:tcW w:type="dxa" w:w="3402"/>
            <w:vAlign w:val="center"/>
          </w:tcPr>
          <w:p>
            <w:pPr>
              <w:spacing w:after="0" w:line="288" w:lineRule="auto"/>
            </w:pPr>
            <w:r/>
            <w:r>
              <w:rPr>
                <w:rFonts w:ascii="游明朝" w:hAnsi="游明朝" w:eastAsia="游明朝"/>
                <w:b w:val="0"/>
                <w:color w:val="23301F"/>
                <w:sz w:val="19"/>
              </w:rPr>
              <w:t>私が中学生の時いじめを受けている子がいた。</w:t>
            </w:r>
          </w:p>
        </w:tc>
        <w:tc>
          <w:tcPr>
            <w:tcW w:type="dxa" w:w="3402"/>
            <w:vAlign w:val="center"/>
          </w:tcPr>
          <w:p>
            <w:pPr>
              <w:spacing w:after="0" w:line="288" w:lineRule="auto"/>
            </w:pPr>
            <w:r/>
            <w:r>
              <w:rPr>
                <w:rFonts w:ascii="游明朝" w:hAnsi="游明朝" w:eastAsia="游明朝"/>
                <w:b/>
                <w:color w:val="2C5F2D"/>
                <w:sz w:val="19"/>
              </w:rPr>
              <w:t>私が中学生のとき、いじめを受けている生徒がいた。</w:t>
            </w:r>
          </w:p>
        </w:tc>
        <w:tc>
          <w:tcPr>
            <w:tcW w:type="dxa" w:w="2835"/>
            <w:vAlign w:val="center"/>
          </w:tcPr>
          <w:p>
            <w:pPr>
              <w:spacing w:after="0" w:line="288" w:lineRule="auto"/>
            </w:pPr>
            <w:r/>
            <w:r>
              <w:rPr>
                <w:rFonts w:ascii="游ゴシック" w:hAnsi="游ゴシック" w:eastAsia="游ゴシック"/>
                <w:b w:val="0"/>
                <w:color w:val="23301F"/>
                <w:sz w:val="18"/>
              </w:rPr>
              <w:t>読点と言葉の選び方</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【第1段落】問い：重要性は何か → 自分の問題として考えることが2つある（答えがずれている）</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【序論】問い → 重要性：自分のこととして捉えると行動が生まれる（主張）</w:t>
            </w:r>
          </w:p>
        </w:tc>
      </w:tr>
      <w:tr>
        <w:tc>
          <w:tcPr>
            <w:tcW w:type="dxa" w:w="4819"/>
            <w:vAlign w:val="center"/>
          </w:tcPr>
          <w:p>
            <w:pPr>
              <w:spacing w:after="0" w:line="288" w:lineRule="auto"/>
            </w:pPr>
            <w:r/>
            <w:r>
              <w:rPr>
                <w:rFonts w:ascii="游ゴシック" w:hAnsi="游ゴシック" w:eastAsia="游ゴシック"/>
                <w:b w:val="0"/>
                <w:color w:val="23301F"/>
                <w:sz w:val="19"/>
              </w:rPr>
              <w:t>【第2段落】一つ目：環境 → 省エネ・マイバッグ・環境委員の啓発</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【本論①】環境：誰かが解決すると思えば変わらない → 省エネ・マイバッグ・環境委員の啓発</w:t>
            </w:r>
          </w:p>
        </w:tc>
      </w:tr>
      <w:tr>
        <w:tc>
          <w:tcPr>
            <w:tcW w:type="dxa" w:w="4819"/>
            <w:vAlign w:val="center"/>
          </w:tcPr>
          <w:p>
            <w:pPr>
              <w:spacing w:after="0" w:line="288" w:lineRule="auto"/>
            </w:pPr>
            <w:r/>
            <w:r>
              <w:rPr>
                <w:rFonts w:ascii="游ゴシック" w:hAnsi="游ゴシック" w:eastAsia="游ゴシック"/>
                <w:b w:val="0"/>
                <w:color w:val="23301F"/>
                <w:sz w:val="19"/>
              </w:rPr>
              <w:t>【第3段落】二つ目：いじめ → 中学時代いじめを受けている子がいた（途中で終わり）</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【本論②】いじめ：関係ないと思うと見過ごされる → 全員が当事者という意識</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【結論】自分ごと化が社会を変える出発点 → 子どもが身近な問題を自分のこととして考えられるよう導く教員に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書き直し例（553字）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97字</w:t>
            </w:r>
          </w:p>
        </w:tc>
        <w:tc>
          <w:tcPr>
            <w:tcW w:type="dxa" w:w="8277"/>
            <w:vAlign w:val="center"/>
          </w:tcPr>
          <w:p>
            <w:pPr>
              <w:spacing w:after="0" w:line="288" w:lineRule="auto"/>
            </w:pPr>
            <w:r/>
            <w:r>
              <w:rPr>
                <w:rFonts w:ascii="游明朝" w:hAnsi="游明朝" w:eastAsia="游明朝"/>
                <w:b w:val="0"/>
                <w:color w:val="23301F"/>
                <w:sz w:val="21"/>
              </w:rPr>
              <w:t>社会の諸問題を自分の問題として考えることは、なぜ重要なのだろうか。私は、問題を自分のこととして捉えたときに初めて、人は行動を起こせるからだと考える。そのことを、環境問題といじめの問題から述べ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213字</w:t>
            </w:r>
          </w:p>
        </w:tc>
        <w:tc>
          <w:tcPr>
            <w:tcW w:type="dxa" w:w="8277"/>
            <w:vAlign w:val="center"/>
          </w:tcPr>
          <w:p>
            <w:pPr>
              <w:spacing w:after="0" w:line="288" w:lineRule="auto"/>
            </w:pPr>
            <w:r/>
            <w:r>
              <w:rPr>
                <w:rFonts w:ascii="游明朝" w:hAnsi="游明朝" w:eastAsia="游明朝"/>
                <w:b w:val="0"/>
                <w:color w:val="23301F"/>
                <w:sz w:val="21"/>
              </w:rPr>
              <w:t>一つ目は、環境問題である。地球温暖化は世界中の人々に関わる問題だが、「誰かが解決してくれる」と考えていては何も変わらない。私は温室効果ガスを減らすことを自分の問題と捉え、エアコンや暖房の省エネを実践した。また、プラスチックごみを減らすためにマイバッグを持ち歩くようにした。さらに中学時代には環境委員として、周りの生徒に環境を守る行動を呼びかけた。一人の行動は小さくても、自分のこととして考える人が増えれば、社会は変わっていく。</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149字</w:t>
            </w:r>
          </w:p>
        </w:tc>
        <w:tc>
          <w:tcPr>
            <w:tcW w:type="dxa" w:w="8277"/>
            <w:vAlign w:val="center"/>
          </w:tcPr>
          <w:p>
            <w:pPr>
              <w:spacing w:after="0" w:line="288" w:lineRule="auto"/>
            </w:pPr>
            <w:r/>
            <w:r>
              <w:rPr>
                <w:rFonts w:ascii="游明朝" w:hAnsi="游明朝" w:eastAsia="游明朝"/>
                <w:b w:val="0"/>
                <w:color w:val="23301F"/>
                <w:sz w:val="21"/>
              </w:rPr>
              <w:t>二つ目は、いじめなどの教育問題である。私が中学生のとき、いじめを受けている生徒がいた。いじめは、周りの人が「自分には関係ない」と考えた時点で見過ごされてしまう。一人ひとりが自分の問題として向き合い、見て見ぬふりをしないことが、いじめを止める第一歩になる。学級の全員が当事者だという意識が必要で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94字</w:t>
            </w:r>
          </w:p>
        </w:tc>
        <w:tc>
          <w:tcPr>
            <w:tcW w:type="dxa" w:w="8277"/>
            <w:vAlign w:val="center"/>
          </w:tcPr>
          <w:p>
            <w:pPr>
              <w:spacing w:after="0" w:line="288" w:lineRule="auto"/>
            </w:pPr>
            <w:r/>
            <w:r>
              <w:rPr>
                <w:rFonts w:ascii="游明朝" w:hAnsi="游明朝" w:eastAsia="游明朝"/>
                <w:b w:val="0"/>
                <w:color w:val="23301F"/>
                <w:sz w:val="21"/>
              </w:rPr>
              <w:t>以上より、社会の諸問題を自分の問題として考えることは、行動を生み、社会を変える出発点である。私は教育学科で学び、子どもたちが身近な問題を自分のこととして考えられるよう導ける教員になり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大学全体：建学の精神・教育理念に共感し、学問への意欲と、多様性・主体性への姿勢を持つ学生</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文学部 教育学科：本学の教育の理念を理解し、学ぶ意欲が高く、学科の求める学生像に合う学生を選抜（学科固有の方針本文は未確認）</w:t>
      </w:r>
    </w:p>
    <w:p>
      <w:pPr>
        <w:spacing w:after="40" w:before="40" w:line="300" w:lineRule="auto"/>
      </w:pPr>
      <w:r>
        <w:rPr>
          <w:rFonts w:ascii="游ゴシック" w:hAnsi="游ゴシック" w:eastAsia="游ゴシック"/>
          <w:b w:val="0"/>
          <w:color w:val="23301F"/>
          <w:sz w:val="21"/>
        </w:rPr>
        <w:t>自ら行動した経験（省エネ・啓発活動）は、大学が求める主体性の証拠になる。いじめ問題を教員としてどう考えるかまで書けば、教育学科で学ぶ意欲と適性がはっきり伝わる。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　https://contact.kokushikan.ac.jp/faculty/Letters/about/file/Letters_education_AP.pdf（本文未確認）</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書き始める前に、設問の問い（今回は「重要性」）に一文で答えてから序論を書く</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具体例のあとに「だから〜」と、主張とのつながりを一文で書く</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数字・カタカナ語の表記（漢数字、マイバッグ）を見直す</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