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2026-10-17</w:t>
            </w:r>
          </w:p>
          <w:p>
            <w:pPr>
              <w:spacing w:after="0" w:line="288" w:lineRule="auto"/>
            </w:pPr>
            <w:r>
              <w:rPr>
                <w:rFonts w:ascii="游ゴシック" w:hAnsi="游ゴシック" w:eastAsia="游ゴシック"/>
                <w:b/>
                <w:color w:val="FFFFFF"/>
                <w:sz w:val="21"/>
              </w:rPr>
              <w:t>石川陽太</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文学部 教育学科 総合型選抜 令和7年度 Ⅱ期（12月15日）</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優先席と同調圧力　／　ティムラズ・レジャバ『日本再発見』</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筆者の問題提起に対するあなたの考えを600字で述べなさい。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547字（規定の範囲内）</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66</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13 / 20</w:t>
            </w:r>
          </w:p>
        </w:tc>
        <w:tc>
          <w:tcPr>
            <w:tcW w:type="dxa" w:w="6350"/>
            <w:vAlign w:val="center"/>
          </w:tcPr>
          <w:p>
            <w:pPr>
              <w:spacing w:after="0" w:line="288" w:lineRule="auto"/>
            </w:pPr>
            <w:r/>
            <w:r>
              <w:rPr>
                <w:rFonts w:ascii="游ゴシック" w:hAnsi="游ゴシック" w:eastAsia="游ゴシック"/>
                <w:b w:val="0"/>
                <w:color w:val="23301F"/>
                <w:sz w:val="19"/>
              </w:rPr>
              <w:t>筆者の問題提起（反応の大きさは同調圧力の表れ）を示し、自分の考え（表れだと思う）を答えている。ただ、課題文の出来事である「誰もいない優先席に座った投稿」に一度も触れておらず、何についての論争かが伝わらない。</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15 / 20</w:t>
            </w:r>
          </w:p>
        </w:tc>
        <w:tc>
          <w:tcPr>
            <w:tcW w:type="dxa" w:w="6350"/>
            <w:vAlign w:val="center"/>
          </w:tcPr>
          <w:p>
            <w:pPr>
              <w:spacing w:after="0" w:line="288" w:lineRule="auto"/>
            </w:pPr>
            <w:r/>
            <w:r>
              <w:rPr>
                <w:rFonts w:ascii="游ゴシック" w:hAnsi="游ゴシック" w:eastAsia="游ゴシック"/>
                <w:b w:val="0"/>
                <w:color w:val="23301F"/>
                <w:sz w:val="19"/>
              </w:rPr>
              <w:t>要約→主張→理由2つ→結論と、型どおりの分かりやすい構成。ただ理由①「日本人は同調圧力が強いから」は、主張（同調圧力の表れだ）をくり返しているだけで、理由になっていない。</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14 / 20</w:t>
            </w:r>
          </w:p>
        </w:tc>
        <w:tc>
          <w:tcPr>
            <w:tcW w:type="dxa" w:w="6350"/>
            <w:vAlign w:val="center"/>
          </w:tcPr>
          <w:p>
            <w:pPr>
              <w:spacing w:after="0" w:line="288" w:lineRule="auto"/>
            </w:pPr>
            <w:r/>
            <w:r>
              <w:rPr>
                <w:rFonts w:ascii="游ゴシック" w:hAnsi="游ゴシック" w:eastAsia="游ゴシック"/>
                <w:b w:val="0"/>
                <w:color w:val="23301F"/>
                <w:sz w:val="19"/>
              </w:rPr>
              <w:t>ご飯の店選びで「どちらでもいい」と答える、グループで共感できない話に合わせる、という身近な体験を二つ書けている。「七割以上」という数字は根拠がなく、かえって説得力を下げる。</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14 / 20</w:t>
            </w:r>
          </w:p>
        </w:tc>
        <w:tc>
          <w:tcPr>
            <w:tcW w:type="dxa" w:w="6350"/>
            <w:vAlign w:val="center"/>
          </w:tcPr>
          <w:p>
            <w:pPr>
              <w:spacing w:after="0" w:line="288" w:lineRule="auto"/>
            </w:pPr>
            <w:r/>
            <w:r>
              <w:rPr>
                <w:rFonts w:ascii="游ゴシック" w:hAnsi="游ゴシック" w:eastAsia="游ゴシック"/>
                <w:b w:val="0"/>
                <w:color w:val="23301F"/>
                <w:sz w:val="19"/>
              </w:rPr>
              <w:t>「教員になり、子どもたちが自分の意見を言えるようにしたい」と、教育学科につながる結論で締められている。</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10 / 20</w:t>
            </w:r>
          </w:p>
        </w:tc>
        <w:tc>
          <w:tcPr>
            <w:tcW w:type="dxa" w:w="6350"/>
            <w:vAlign w:val="center"/>
          </w:tcPr>
          <w:p>
            <w:pPr>
              <w:spacing w:after="0" w:line="288" w:lineRule="auto"/>
            </w:pPr>
            <w:r/>
            <w:r>
              <w:rPr>
                <w:rFonts w:ascii="游ゴシック" w:hAnsi="游ゴシック" w:eastAsia="游ゴシック"/>
                <w:b w:val="0"/>
                <w:color w:val="23301F"/>
                <w:sz w:val="19"/>
              </w:rPr>
              <w:t>書き出しの「問題文は、〜発展していった」は主語がずれている。「日本人は自分の意見がない」は言い過ぎ。「省かれる」「合せ」「仲良いグループ」「忍んでいる」「サポートし促して」など直せる箇所が多い。字数は547字。</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前提】設問文と字数（600字）は大学公式の過去問で確認した。要約→主張→理由2つ→結論の型がしっかりしていて、ご飯の店選びや、グループで話を合わせるという自分の体験を根拠にできている。結論で教員としての目標につなげた点も良い。課題は三つ。①要約で、課題文の出来事（誰もいない優先席に座った投稿）に触れること。②理由①を「日本人は同調圧力が強いから」ではなく、「周りに合わせて意見を言わない場面が身近に多いから」のように、主張を支える理由にすること。③「日本人は自分の意見がない」「七割以上」のような決めつけや根拠のない数字を避けること。</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筆者の問題提起を「〜の表れではないかと主張している」と正しく読み取れている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「表れだと考える。理由は二つある」と、立場と構成を早い段階で示している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ご飯の店選び、グループでの話題という、自分の体験を二つ根拠にできている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「教員になり、子どもたちが自分の意見を言えるように」と、教育学科につながる結論で締めている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要約で課題文の出来事（優先席）に触れる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「問題文は、ツイッターにアップしたところ批判や批判に反論するなどの一大論争に発展していった。」</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何を投稿したのかが書かれていない。また主語の「問題文は」がずれている。「筆者は、誰もいない優先席に座った様子をSNSに投稿したところ、批判とそれへの反論が続く一大論争になった経験を述べている」とする。</w:t>
      </w:r>
    </w:p>
    <w:p>
      <w:pPr>
        <w:spacing w:after="20" w:before="60" w:line="300" w:lineRule="auto"/>
      </w:pPr>
      <w:r>
        <w:rPr>
          <w:rFonts w:ascii="游ゴシック" w:hAnsi="游ゴシック" w:eastAsia="游ゴシック"/>
          <w:b/>
          <w:color w:val="17321A"/>
          <w:sz w:val="21"/>
        </w:rPr>
        <w:t>2. 理由①を、主張をくり返さない形にする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「一つ目は、日本人は同調圧力が強いからである。」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同調圧力の表れだ」の理由が「同調圧力が強いから」では、同じことを言っているだけになる。「周りに合わせて自分の意見を言わない場面が身近に多いからである」とし、ご飯の店選びの体験をその証拠にする。</w:t>
      </w:r>
    </w:p>
    <w:p>
      <w:pPr>
        <w:spacing w:after="20" w:before="60" w:line="300" w:lineRule="auto"/>
      </w:pPr>
      <w:r>
        <w:rPr>
          <w:rFonts w:ascii="游ゴシック" w:hAnsi="游ゴシック" w:eastAsia="游ゴシック"/>
          <w:b/>
          <w:color w:val="17321A"/>
          <w:sz w:val="21"/>
        </w:rPr>
        <w:t>3. 決めつけと根拠のない数字を避ける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「また、自分の意見がないことも特徴である。／七割以上の友達が」</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「日本人は自分の意見がない」は言い過ぎで、反感を持たれやすい。「七割以上」も数えた根拠がない。「多くの友達が」と書けば十分に伝わる。</w:t>
      </w:r>
    </w:p>
    <w:p>
      <w:pPr>
        <w:spacing w:after="20" w:before="60" w:line="300" w:lineRule="auto"/>
      </w:pPr>
      <w:r>
        <w:rPr>
          <w:rFonts w:ascii="游ゴシック" w:hAnsi="游ゴシック" w:eastAsia="游ゴシック"/>
          <w:b/>
          <w:color w:val="17321A"/>
          <w:sz w:val="21"/>
        </w:rPr>
        <w:t>4. 課題文と自分の体験を結びつける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体験のあとに「筆者の投稿に多くの反響が集まったのも、こうした息苦しさを多くの人が感じていたからだ」と一文入れると、体験が課題文への意見の根拠として生きる。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あなたの答案（547字）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106字</w:t>
            </w:r>
          </w:p>
        </w:tc>
        <w:tc>
          <w:tcPr>
            <w:tcW w:type="dxa" w:w="8277"/>
            <w:vAlign w:val="center"/>
          </w:tcPr>
          <w:p>
            <w:pPr>
              <w:spacing w:after="0" w:line="288" w:lineRule="auto"/>
            </w:pPr>
            <w:r/>
            <w:r>
              <w:rPr>
                <w:rFonts w:ascii="游明朝" w:hAnsi="游明朝" w:eastAsia="游明朝"/>
                <w:b w:val="0"/>
                <w:color w:val="23301F"/>
                <w:sz w:val="21"/>
              </w:rPr>
              <w:t>問題文は、ツイッターにアップしたところ批判や批判に反論するなどの一大論争に発展していった。筆者は、この反応の大きさは、日本のみなさんも同調圧力を潜在的なプレッシャーに感じていたことの表れではないかと主張してい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38字</w:t>
            </w:r>
          </w:p>
        </w:tc>
        <w:tc>
          <w:tcPr>
            <w:tcW w:type="dxa" w:w="8277"/>
            <w:vAlign w:val="center"/>
          </w:tcPr>
          <w:p>
            <w:pPr>
              <w:spacing w:after="0" w:line="288" w:lineRule="auto"/>
            </w:pPr>
            <w:r/>
            <w:r>
              <w:rPr>
                <w:rFonts w:ascii="游明朝" w:hAnsi="游明朝" w:eastAsia="游明朝"/>
                <w:b w:val="0"/>
                <w:color w:val="23301F"/>
                <w:sz w:val="21"/>
              </w:rPr>
              <w:t>筆者の問題提起に対してどう思うか。私は、表れだと考える。その理由は二つある。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143字</w:t>
            </w:r>
          </w:p>
        </w:tc>
        <w:tc>
          <w:tcPr>
            <w:tcW w:type="dxa" w:w="8277"/>
            <w:vAlign w:val="center"/>
          </w:tcPr>
          <w:p>
            <w:pPr>
              <w:spacing w:after="0" w:line="288" w:lineRule="auto"/>
            </w:pPr>
            <w:r/>
            <w:r>
              <w:rPr>
                <w:rFonts w:ascii="游明朝" w:hAnsi="游明朝" w:eastAsia="游明朝"/>
                <w:b w:val="0"/>
                <w:color w:val="23301F"/>
                <w:sz w:val="21"/>
              </w:rPr>
              <w:t>一つ目は、日本人は同調圧力が強いからである。日本人は、周りの意見に合わせて行動しがちである。また、自分の意見がないことも特徴である。私は、友達とご飯を食べに行く時、「場所どっちがいい？」と聞くと、七割以上の友達が「どっちでもいいよ」と答える。私もそれを聞かれたらそう答えてしまうだろう。</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162字</w:t>
            </w:r>
          </w:p>
        </w:tc>
        <w:tc>
          <w:tcPr>
            <w:tcW w:type="dxa" w:w="8277"/>
            <w:vAlign w:val="center"/>
          </w:tcPr>
          <w:p>
            <w:pPr>
              <w:spacing w:after="0" w:line="288" w:lineRule="auto"/>
            </w:pPr>
            <w:r/>
            <w:r>
              <w:rPr>
                <w:rFonts w:ascii="游明朝" w:hAnsi="游明朝" w:eastAsia="游明朝"/>
                <w:b w:val="0"/>
                <w:color w:val="23301F"/>
                <w:sz w:val="21"/>
              </w:rPr>
              <w:t>二つ目は、周りの意見に合せなければ、その輪から省かれるかもしれないと考えるからである。私は、仲良いグループで話す時、あまり共感できない話題がある。私は、「省かれたくない」という考えから周りの話に合わせて、その場を忍んでいる。そこで、私が「あまりその話はしたくない」や「わからない」と言ったら、そのグループから省かれるだろう。</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98字</w:t>
            </w:r>
          </w:p>
        </w:tc>
        <w:tc>
          <w:tcPr>
            <w:tcW w:type="dxa" w:w="8277"/>
            <w:vAlign w:val="center"/>
          </w:tcPr>
          <w:p>
            <w:pPr>
              <w:spacing w:after="0" w:line="288" w:lineRule="auto"/>
            </w:pPr>
            <w:r/>
            <w:r>
              <w:rPr>
                <w:rFonts w:ascii="游明朝" w:hAnsi="游明朝" w:eastAsia="游明朝"/>
                <w:b w:val="0"/>
                <w:color w:val="23301F"/>
                <w:sz w:val="21"/>
              </w:rPr>
              <w:t>以上より、私はこの反応の大きさは、日本人も同調圧力を潜在的なプレッシャーに感じていたことの表れだと考える。私は将来教員になり、子ども達が自分の意見をはっきりと言えるようにサポートし促していき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問題文は、ツイッターにアップしたところ</w:t>
            </w:r>
          </w:p>
        </w:tc>
        <w:tc>
          <w:tcPr>
            <w:tcW w:type="dxa" w:w="3402"/>
            <w:vAlign w:val="center"/>
          </w:tcPr>
          <w:p>
            <w:pPr>
              <w:spacing w:after="0" w:line="288" w:lineRule="auto"/>
            </w:pPr>
            <w:r/>
            <w:r>
              <w:rPr>
                <w:rFonts w:ascii="游明朝" w:hAnsi="游明朝" w:eastAsia="游明朝"/>
                <w:b/>
                <w:color w:val="2C5F2D"/>
                <w:sz w:val="19"/>
              </w:rPr>
              <w:t>筆者は、誰もいない優先席に座った様子をSNSに投稿したところ</w:t>
            </w:r>
          </w:p>
        </w:tc>
        <w:tc>
          <w:tcPr>
            <w:tcW w:type="dxa" w:w="2835"/>
            <w:vAlign w:val="center"/>
          </w:tcPr>
          <w:p>
            <w:pPr>
              <w:spacing w:after="0" w:line="288" w:lineRule="auto"/>
            </w:pPr>
            <w:r/>
            <w:r>
              <w:rPr>
                <w:rFonts w:ascii="游ゴシック" w:hAnsi="游ゴシック" w:eastAsia="游ゴシック"/>
                <w:b w:val="0"/>
                <w:color w:val="23301F"/>
                <w:sz w:val="18"/>
              </w:rPr>
              <w:t>主語のずれ。何を投稿したかを補う</w:t>
            </w:r>
          </w:p>
        </w:tc>
      </w:tr>
      <w:tr>
        <w:tc>
          <w:tcPr>
            <w:tcW w:type="dxa" w:w="3402"/>
            <w:vAlign w:val="center"/>
          </w:tcPr>
          <w:p>
            <w:pPr>
              <w:spacing w:after="0" w:line="288" w:lineRule="auto"/>
            </w:pPr>
            <w:r/>
            <w:r>
              <w:rPr>
                <w:rFonts w:ascii="游明朝" w:hAnsi="游明朝" w:eastAsia="游明朝"/>
                <w:b w:val="0"/>
                <w:color w:val="23301F"/>
                <w:sz w:val="19"/>
              </w:rPr>
              <w:t>筆者の問題提起に対してどう思うか。私は、表れだと考える。</w:t>
            </w:r>
          </w:p>
        </w:tc>
        <w:tc>
          <w:tcPr>
            <w:tcW w:type="dxa" w:w="3402"/>
            <w:vAlign w:val="center"/>
          </w:tcPr>
          <w:p>
            <w:pPr>
              <w:spacing w:after="0" w:line="288" w:lineRule="auto"/>
            </w:pPr>
            <w:r/>
            <w:r>
              <w:rPr>
                <w:rFonts w:ascii="游明朝" w:hAnsi="游明朝" w:eastAsia="游明朝"/>
                <w:b/>
                <w:color w:val="2C5F2D"/>
                <w:sz w:val="19"/>
              </w:rPr>
              <w:t>私はこの問題提起に賛成である。</w:t>
            </w:r>
          </w:p>
        </w:tc>
        <w:tc>
          <w:tcPr>
            <w:tcW w:type="dxa" w:w="2835"/>
            <w:vAlign w:val="center"/>
          </w:tcPr>
          <w:p>
            <w:pPr>
              <w:spacing w:after="0" w:line="288" w:lineRule="auto"/>
            </w:pPr>
            <w:r/>
            <w:r>
              <w:rPr>
                <w:rFonts w:ascii="游ゴシック" w:hAnsi="游ゴシック" w:eastAsia="游ゴシック"/>
                <w:b w:val="0"/>
                <w:color w:val="23301F"/>
                <w:sz w:val="18"/>
              </w:rPr>
              <w:t>設問をくり返す問いかけは不要。立場を言い切る</w:t>
            </w:r>
          </w:p>
        </w:tc>
      </w:tr>
      <w:tr>
        <w:tc>
          <w:tcPr>
            <w:tcW w:type="dxa" w:w="3402"/>
            <w:vAlign w:val="center"/>
          </w:tcPr>
          <w:p>
            <w:pPr>
              <w:spacing w:after="0" w:line="288" w:lineRule="auto"/>
            </w:pPr>
            <w:r/>
            <w:r>
              <w:rPr>
                <w:rFonts w:ascii="游明朝" w:hAnsi="游明朝" w:eastAsia="游明朝"/>
                <w:b w:val="0"/>
                <w:color w:val="23301F"/>
                <w:sz w:val="19"/>
              </w:rPr>
              <w:t>「場所どっちがいい？」と聞くと</w:t>
            </w:r>
          </w:p>
        </w:tc>
        <w:tc>
          <w:tcPr>
            <w:tcW w:type="dxa" w:w="3402"/>
            <w:vAlign w:val="center"/>
          </w:tcPr>
          <w:p>
            <w:pPr>
              <w:spacing w:after="0" w:line="288" w:lineRule="auto"/>
            </w:pPr>
            <w:r/>
            <w:r>
              <w:rPr>
                <w:rFonts w:ascii="游明朝" w:hAnsi="游明朝" w:eastAsia="游明朝"/>
                <w:b/>
                <w:color w:val="2C5F2D"/>
                <w:sz w:val="19"/>
              </w:rPr>
              <w:t>「どこがいい？」と聞いても</w:t>
            </w:r>
          </w:p>
        </w:tc>
        <w:tc>
          <w:tcPr>
            <w:tcW w:type="dxa" w:w="2835"/>
            <w:vAlign w:val="center"/>
          </w:tcPr>
          <w:p>
            <w:pPr>
              <w:spacing w:after="0" w:line="288" w:lineRule="auto"/>
            </w:pPr>
            <w:r/>
            <w:r>
              <w:rPr>
                <w:rFonts w:ascii="游ゴシック" w:hAnsi="游ゴシック" w:eastAsia="游ゴシック"/>
                <w:b w:val="0"/>
                <w:color w:val="23301F"/>
                <w:sz w:val="18"/>
              </w:rPr>
              <w:t>話し言葉を整える</w:t>
            </w:r>
          </w:p>
        </w:tc>
      </w:tr>
      <w:tr>
        <w:tc>
          <w:tcPr>
            <w:tcW w:type="dxa" w:w="3402"/>
            <w:vAlign w:val="center"/>
          </w:tcPr>
          <w:p>
            <w:pPr>
              <w:spacing w:after="0" w:line="288" w:lineRule="auto"/>
            </w:pPr>
            <w:r/>
            <w:r>
              <w:rPr>
                <w:rFonts w:ascii="游明朝" w:hAnsi="游明朝" w:eastAsia="游明朝"/>
                <w:b w:val="0"/>
                <w:color w:val="23301F"/>
                <w:sz w:val="19"/>
              </w:rPr>
              <w:t>周りの意見に合せなければ</w:t>
            </w:r>
          </w:p>
        </w:tc>
        <w:tc>
          <w:tcPr>
            <w:tcW w:type="dxa" w:w="3402"/>
            <w:vAlign w:val="center"/>
          </w:tcPr>
          <w:p>
            <w:pPr>
              <w:spacing w:after="0" w:line="288" w:lineRule="auto"/>
            </w:pPr>
            <w:r/>
            <w:r>
              <w:rPr>
                <w:rFonts w:ascii="游明朝" w:hAnsi="游明朝" w:eastAsia="游明朝"/>
                <w:b/>
                <w:color w:val="2C5F2D"/>
                <w:sz w:val="19"/>
              </w:rPr>
              <w:t>周りの意見に合わせなければ</w:t>
            </w:r>
          </w:p>
        </w:tc>
        <w:tc>
          <w:tcPr>
            <w:tcW w:type="dxa" w:w="2835"/>
            <w:vAlign w:val="center"/>
          </w:tcPr>
          <w:p>
            <w:pPr>
              <w:spacing w:after="0" w:line="288" w:lineRule="auto"/>
            </w:pPr>
            <w:r/>
            <w:r>
              <w:rPr>
                <w:rFonts w:ascii="游ゴシック" w:hAnsi="游ゴシック" w:eastAsia="游ゴシック"/>
                <w:b w:val="0"/>
                <w:color w:val="23301F"/>
                <w:sz w:val="18"/>
              </w:rPr>
              <w:t>送りがなの誤り</w:t>
            </w:r>
          </w:p>
        </w:tc>
      </w:tr>
      <w:tr>
        <w:tc>
          <w:tcPr>
            <w:tcW w:type="dxa" w:w="3402"/>
            <w:vAlign w:val="center"/>
          </w:tcPr>
          <w:p>
            <w:pPr>
              <w:spacing w:after="0" w:line="288" w:lineRule="auto"/>
            </w:pPr>
            <w:r/>
            <w:r>
              <w:rPr>
                <w:rFonts w:ascii="游明朝" w:hAnsi="游明朝" w:eastAsia="游明朝"/>
                <w:b w:val="0"/>
                <w:color w:val="23301F"/>
                <w:sz w:val="19"/>
              </w:rPr>
              <w:t>その輪から省かれる</w:t>
            </w:r>
          </w:p>
        </w:tc>
        <w:tc>
          <w:tcPr>
            <w:tcW w:type="dxa" w:w="3402"/>
            <w:vAlign w:val="center"/>
          </w:tcPr>
          <w:p>
            <w:pPr>
              <w:spacing w:after="0" w:line="288" w:lineRule="auto"/>
            </w:pPr>
            <w:r/>
            <w:r>
              <w:rPr>
                <w:rFonts w:ascii="游明朝" w:hAnsi="游明朝" w:eastAsia="游明朝"/>
                <w:b/>
                <w:color w:val="2C5F2D"/>
                <w:sz w:val="19"/>
              </w:rPr>
              <w:t>仲間から外される</w:t>
            </w:r>
          </w:p>
        </w:tc>
        <w:tc>
          <w:tcPr>
            <w:tcW w:type="dxa" w:w="2835"/>
            <w:vAlign w:val="center"/>
          </w:tcPr>
          <w:p>
            <w:pPr>
              <w:spacing w:after="0" w:line="288" w:lineRule="auto"/>
            </w:pPr>
            <w:r/>
            <w:r>
              <w:rPr>
                <w:rFonts w:ascii="游ゴシック" w:hAnsi="游ゴシック" w:eastAsia="游ゴシック"/>
                <w:b w:val="0"/>
                <w:color w:val="23301F"/>
                <w:sz w:val="18"/>
              </w:rPr>
              <w:t>「省かれる」は人には使いにくい</w:t>
            </w:r>
          </w:p>
        </w:tc>
      </w:tr>
      <w:tr>
        <w:tc>
          <w:tcPr>
            <w:tcW w:type="dxa" w:w="3402"/>
            <w:vAlign w:val="center"/>
          </w:tcPr>
          <w:p>
            <w:pPr>
              <w:spacing w:after="0" w:line="288" w:lineRule="auto"/>
            </w:pPr>
            <w:r/>
            <w:r>
              <w:rPr>
                <w:rFonts w:ascii="游明朝" w:hAnsi="游明朝" w:eastAsia="游明朝"/>
                <w:b w:val="0"/>
                <w:color w:val="23301F"/>
                <w:sz w:val="19"/>
              </w:rPr>
              <w:t>仲良いグループ</w:t>
            </w:r>
          </w:p>
        </w:tc>
        <w:tc>
          <w:tcPr>
            <w:tcW w:type="dxa" w:w="3402"/>
            <w:vAlign w:val="center"/>
          </w:tcPr>
          <w:p>
            <w:pPr>
              <w:spacing w:after="0" w:line="288" w:lineRule="auto"/>
            </w:pPr>
            <w:r/>
            <w:r>
              <w:rPr>
                <w:rFonts w:ascii="游明朝" w:hAnsi="游明朝" w:eastAsia="游明朝"/>
                <w:b/>
                <w:color w:val="2C5F2D"/>
                <w:sz w:val="19"/>
              </w:rPr>
              <w:t>仲の良いグループ</w:t>
            </w:r>
          </w:p>
        </w:tc>
        <w:tc>
          <w:tcPr>
            <w:tcW w:type="dxa" w:w="2835"/>
            <w:vAlign w:val="center"/>
          </w:tcPr>
          <w:p>
            <w:pPr>
              <w:spacing w:after="0" w:line="288" w:lineRule="auto"/>
            </w:pPr>
            <w:r/>
            <w:r>
              <w:rPr>
                <w:rFonts w:ascii="游ゴシック" w:hAnsi="游ゴシック" w:eastAsia="游ゴシック"/>
                <w:b w:val="0"/>
                <w:color w:val="23301F"/>
                <w:sz w:val="18"/>
              </w:rPr>
              <w:t>助詞の抜け</w:t>
            </w:r>
          </w:p>
        </w:tc>
      </w:tr>
      <w:tr>
        <w:tc>
          <w:tcPr>
            <w:tcW w:type="dxa" w:w="3402"/>
            <w:vAlign w:val="center"/>
          </w:tcPr>
          <w:p>
            <w:pPr>
              <w:spacing w:after="0" w:line="288" w:lineRule="auto"/>
            </w:pPr>
            <w:r/>
            <w:r>
              <w:rPr>
                <w:rFonts w:ascii="游明朝" w:hAnsi="游明朝" w:eastAsia="游明朝"/>
                <w:b w:val="0"/>
                <w:color w:val="23301F"/>
                <w:sz w:val="19"/>
              </w:rPr>
              <w:t>その場を忍んでいる。</w:t>
            </w:r>
          </w:p>
        </w:tc>
        <w:tc>
          <w:tcPr>
            <w:tcW w:type="dxa" w:w="3402"/>
            <w:vAlign w:val="center"/>
          </w:tcPr>
          <w:p>
            <w:pPr>
              <w:spacing w:after="0" w:line="288" w:lineRule="auto"/>
            </w:pPr>
            <w:r/>
            <w:r>
              <w:rPr>
                <w:rFonts w:ascii="游明朝" w:hAnsi="游明朝" w:eastAsia="游明朝"/>
                <w:b/>
                <w:color w:val="2C5F2D"/>
                <w:sz w:val="19"/>
              </w:rPr>
              <w:t>その場をやり過ごしている。</w:t>
            </w:r>
          </w:p>
        </w:tc>
        <w:tc>
          <w:tcPr>
            <w:tcW w:type="dxa" w:w="2835"/>
            <w:vAlign w:val="center"/>
          </w:tcPr>
          <w:p>
            <w:pPr>
              <w:spacing w:after="0" w:line="288" w:lineRule="auto"/>
            </w:pPr>
            <w:r/>
            <w:r>
              <w:rPr>
                <w:rFonts w:ascii="游ゴシック" w:hAnsi="游ゴシック" w:eastAsia="游ゴシック"/>
                <w:b w:val="0"/>
                <w:color w:val="23301F"/>
                <w:sz w:val="18"/>
              </w:rPr>
              <w:t>言葉の選び方</w:t>
            </w:r>
          </w:p>
        </w:tc>
      </w:tr>
      <w:tr>
        <w:tc>
          <w:tcPr>
            <w:tcW w:type="dxa" w:w="3402"/>
            <w:vAlign w:val="center"/>
          </w:tcPr>
          <w:p>
            <w:pPr>
              <w:spacing w:after="0" w:line="288" w:lineRule="auto"/>
            </w:pPr>
            <w:r/>
            <w:r>
              <w:rPr>
                <w:rFonts w:ascii="游明朝" w:hAnsi="游明朝" w:eastAsia="游明朝"/>
                <w:b w:val="0"/>
                <w:color w:val="23301F"/>
                <w:sz w:val="19"/>
              </w:rPr>
              <w:t>そこで、私が「あまりその話はしたくない」や</w:t>
            </w:r>
          </w:p>
        </w:tc>
        <w:tc>
          <w:tcPr>
            <w:tcW w:type="dxa" w:w="3402"/>
            <w:vAlign w:val="center"/>
          </w:tcPr>
          <w:p>
            <w:pPr>
              <w:spacing w:after="0" w:line="288" w:lineRule="auto"/>
            </w:pPr>
            <w:r/>
            <w:r>
              <w:rPr>
                <w:rFonts w:ascii="游明朝" w:hAnsi="游明朝" w:eastAsia="游明朝"/>
                <w:b/>
                <w:color w:val="2C5F2D"/>
                <w:sz w:val="19"/>
              </w:rPr>
              <w:t>もし私が「その話はしたくない」と</w:t>
            </w:r>
          </w:p>
        </w:tc>
        <w:tc>
          <w:tcPr>
            <w:tcW w:type="dxa" w:w="2835"/>
            <w:vAlign w:val="center"/>
          </w:tcPr>
          <w:p>
            <w:pPr>
              <w:spacing w:after="0" w:line="288" w:lineRule="auto"/>
            </w:pPr>
            <w:r/>
            <w:r>
              <w:rPr>
                <w:rFonts w:ascii="游ゴシック" w:hAnsi="游ゴシック" w:eastAsia="游ゴシック"/>
                <w:b w:val="0"/>
                <w:color w:val="23301F"/>
                <w:sz w:val="18"/>
              </w:rPr>
              <w:t>「そこで」は仮定の文に合わない</w:t>
            </w:r>
          </w:p>
        </w:tc>
      </w:tr>
      <w:tr>
        <w:tc>
          <w:tcPr>
            <w:tcW w:type="dxa" w:w="3402"/>
            <w:vAlign w:val="center"/>
          </w:tcPr>
          <w:p>
            <w:pPr>
              <w:spacing w:after="0" w:line="288" w:lineRule="auto"/>
            </w:pPr>
            <w:r/>
            <w:r>
              <w:rPr>
                <w:rFonts w:ascii="游明朝" w:hAnsi="游明朝" w:eastAsia="游明朝"/>
                <w:b w:val="0"/>
                <w:color w:val="23301F"/>
                <w:sz w:val="19"/>
              </w:rPr>
              <w:t>子ども達が自分の意見をはっきりと言えるようにサポートし促していきたい。</w:t>
            </w:r>
          </w:p>
        </w:tc>
        <w:tc>
          <w:tcPr>
            <w:tcW w:type="dxa" w:w="3402"/>
            <w:vAlign w:val="center"/>
          </w:tcPr>
          <w:p>
            <w:pPr>
              <w:spacing w:after="0" w:line="288" w:lineRule="auto"/>
            </w:pPr>
            <w:r/>
            <w:r>
              <w:rPr>
                <w:rFonts w:ascii="游明朝" w:hAnsi="游明朝" w:eastAsia="游明朝"/>
                <w:b/>
                <w:color w:val="2C5F2D"/>
                <w:sz w:val="19"/>
              </w:rPr>
              <w:t>子どもたちが自分の意見を安心して言える学級をつくりたい。</w:t>
            </w:r>
          </w:p>
        </w:tc>
        <w:tc>
          <w:tcPr>
            <w:tcW w:type="dxa" w:w="2835"/>
            <w:vAlign w:val="center"/>
          </w:tcPr>
          <w:p>
            <w:pPr>
              <w:spacing w:after="0" w:line="288" w:lineRule="auto"/>
            </w:pPr>
            <w:r/>
            <w:r>
              <w:rPr>
                <w:rFonts w:ascii="游ゴシック" w:hAnsi="游ゴシック" w:eastAsia="游ゴシック"/>
                <w:b w:val="0"/>
                <w:color w:val="23301F"/>
                <w:sz w:val="18"/>
              </w:rPr>
              <w:t>「サポートし促して」は重複。具体的な目標に</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【序論】要約：ツイッターで一大論争／筆者：反応の大きさは同調圧力の表れ（優先席に触れていない）</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【序論】要約：優先席の投稿 → 一大論争／筆者：反応の大きさは同調圧力の表れ（問題提起）</w:t>
            </w:r>
          </w:p>
        </w:tc>
      </w:tr>
      <w:tr>
        <w:tc>
          <w:tcPr>
            <w:tcW w:type="dxa" w:w="4819"/>
            <w:vAlign w:val="center"/>
          </w:tcPr>
          <w:p>
            <w:pPr>
              <w:spacing w:after="0" w:line="288" w:lineRule="auto"/>
            </w:pPr>
            <w:r/>
            <w:r>
              <w:rPr>
                <w:rFonts w:ascii="游ゴシック" w:hAnsi="游ゴシック" w:eastAsia="游ゴシック"/>
                <w:b w:val="0"/>
                <w:color w:val="23301F"/>
                <w:sz w:val="19"/>
              </w:rPr>
              <w:t>【主張】表れだと考える／理由は二つ</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【主張】賛成：同調圧力は気づかないうちに抱える重荷、自分も感じている</w:t>
            </w:r>
          </w:p>
        </w:tc>
      </w:tr>
      <w:tr>
        <w:tc>
          <w:tcPr>
            <w:tcW w:type="dxa" w:w="4819"/>
            <w:vAlign w:val="center"/>
          </w:tcPr>
          <w:p>
            <w:pPr>
              <w:spacing w:after="0" w:line="288" w:lineRule="auto"/>
            </w:pPr>
            <w:r/>
            <w:r>
              <w:rPr>
                <w:rFonts w:ascii="游ゴシック" w:hAnsi="游ゴシック" w:eastAsia="游ゴシック"/>
                <w:b w:val="0"/>
                <w:color w:val="23301F"/>
                <w:sz w:val="19"/>
              </w:rPr>
              <w:t>【本論①】理由①：日本人は同調圧力が強い（主張のくり返し）／体験：ご飯の店選びで「どちらでもいい」</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【本論①】理由①：周りに合わせて意見を言わない場面が多い ← ご飯の店選び</w:t>
            </w:r>
          </w:p>
        </w:tc>
      </w:tr>
      <w:tr>
        <w:tc>
          <w:tcPr>
            <w:tcW w:type="dxa" w:w="4819"/>
            <w:vAlign w:val="center"/>
          </w:tcPr>
          <w:p>
            <w:pPr>
              <w:spacing w:after="0" w:line="288" w:lineRule="auto"/>
            </w:pPr>
            <w:r/>
            <w:r>
              <w:rPr>
                <w:rFonts w:ascii="游ゴシック" w:hAnsi="游ゴシック" w:eastAsia="游ゴシック"/>
                <w:b w:val="0"/>
                <w:color w:val="23301F"/>
                <w:sz w:val="19"/>
              </w:rPr>
              <w:t>【本論②】理由②：合わせないと外される／体験：グループで共感できない話に合わせる</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【本論②】理由②：外される不安 ← グループで話を合わせる → 筆者への反響もこの息苦しさ</w:t>
            </w:r>
          </w:p>
        </w:tc>
      </w:tr>
      <w:tr>
        <w:tc>
          <w:tcPr>
            <w:tcW w:type="dxa" w:w="4819"/>
            <w:vAlign w:val="center"/>
          </w:tcPr>
          <w:p>
            <w:pPr>
              <w:spacing w:after="0" w:line="288" w:lineRule="auto"/>
            </w:pPr>
            <w:r/>
            <w:r>
              <w:rPr>
                <w:rFonts w:ascii="游ゴシック" w:hAnsi="游ゴシック" w:eastAsia="游ゴシック"/>
                <w:b w:val="0"/>
                <w:color w:val="23301F"/>
                <w:sz w:val="19"/>
              </w:rPr>
              <w:t>【結論】表れだ（再）→ 教員として子どもが意見を言えるように</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【結論】同調圧力は潜在的なプレッシャー → 教員として子どもが安心して意見を言える学級を</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書き直し例（549字）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123字</w:t>
            </w:r>
          </w:p>
        </w:tc>
        <w:tc>
          <w:tcPr>
            <w:tcW w:type="dxa" w:w="8277"/>
            <w:vAlign w:val="center"/>
          </w:tcPr>
          <w:p>
            <w:pPr>
              <w:spacing w:after="0" w:line="288" w:lineRule="auto"/>
            </w:pPr>
            <w:r/>
            <w:r>
              <w:rPr>
                <w:rFonts w:ascii="游明朝" w:hAnsi="游明朝" w:eastAsia="游明朝"/>
                <w:b w:val="0"/>
                <w:color w:val="23301F"/>
                <w:sz w:val="21"/>
              </w:rPr>
              <w:t>筆者は、誰もいない優先席に座った様子をSNSに投稿したところ、批判とそれへの反論が続く一大論争になった経験を述べている。そして、この反応の大きさは、日本の人々も同調圧力を潜在的なプレッシャーとして感じていたことの表れではないかと問題提起してい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68字</w:t>
            </w:r>
          </w:p>
        </w:tc>
        <w:tc>
          <w:tcPr>
            <w:tcW w:type="dxa" w:w="8277"/>
            <w:vAlign w:val="center"/>
          </w:tcPr>
          <w:p>
            <w:pPr>
              <w:spacing w:after="0" w:line="288" w:lineRule="auto"/>
            </w:pPr>
            <w:r/>
            <w:r>
              <w:rPr>
                <w:rFonts w:ascii="游明朝" w:hAnsi="游明朝" w:eastAsia="游明朝"/>
                <w:b w:val="0"/>
                <w:color w:val="23301F"/>
                <w:sz w:val="21"/>
              </w:rPr>
              <w:t>私はこの問題提起に賛成である。同調圧力は多くの人が気づかないうちに抱えている重荷であり、私自身もそれを感じているからだ。理由は二つある。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110字</w:t>
            </w:r>
          </w:p>
        </w:tc>
        <w:tc>
          <w:tcPr>
            <w:tcW w:type="dxa" w:w="8277"/>
            <w:vAlign w:val="center"/>
          </w:tcPr>
          <w:p>
            <w:pPr>
              <w:spacing w:after="0" w:line="288" w:lineRule="auto"/>
            </w:pPr>
            <w:r/>
            <w:r>
              <w:rPr>
                <w:rFonts w:ascii="游明朝" w:hAnsi="游明朝" w:eastAsia="游明朝"/>
                <w:b w:val="0"/>
                <w:color w:val="23301F"/>
                <w:sz w:val="21"/>
              </w:rPr>
              <w:t>一つ目は、周りに合わせて自分の意見を言わない場面が身近に多いからである。友達とご飯を食べに行くとき、「どこがいい？」と聞いても、多くの友達が「どちらでもいいよ」と答える。私自身も、聞かれれば同じように答えてしまうだろう。</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166字</w:t>
            </w:r>
          </w:p>
        </w:tc>
        <w:tc>
          <w:tcPr>
            <w:tcW w:type="dxa" w:w="8277"/>
            <w:vAlign w:val="center"/>
          </w:tcPr>
          <w:p>
            <w:pPr>
              <w:spacing w:after="0" w:line="288" w:lineRule="auto"/>
            </w:pPr>
            <w:r/>
            <w:r>
              <w:rPr>
                <w:rFonts w:ascii="游明朝" w:hAnsi="游明朝" w:eastAsia="游明朝"/>
                <w:b w:val="0"/>
                <w:color w:val="23301F"/>
                <w:sz w:val="21"/>
              </w:rPr>
              <w:t>二つ目は、周りに合わせなければ仲間から外されるという不安があるからである。私は仲の良いグループで話すとき、共感できない話題でも、外されたくないという思いから話を合わせ、その場をやり過ごしている。「その話はしたくない」とは、なかなか言えない。筆者の投稿に多くの反響が集まったのも、こうした息苦しさを多くの人が感じていたからだと考え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82字</w:t>
            </w:r>
          </w:p>
        </w:tc>
        <w:tc>
          <w:tcPr>
            <w:tcW w:type="dxa" w:w="8277"/>
            <w:vAlign w:val="center"/>
          </w:tcPr>
          <w:p>
            <w:pPr>
              <w:spacing w:after="0" w:line="288" w:lineRule="auto"/>
            </w:pPr>
            <w:r/>
            <w:r>
              <w:rPr>
                <w:rFonts w:ascii="游明朝" w:hAnsi="游明朝" w:eastAsia="游明朝"/>
                <w:b w:val="0"/>
                <w:color w:val="23301F"/>
                <w:sz w:val="21"/>
              </w:rPr>
              <w:t>以上より、筆者の言うとおり、日本の人々は同調圧力を潜在的なプレッシャーとして感じている。私は将来教員になり、子どもたちが自分の意見を安心して言える学級をつくりたい。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大学全体：建学の精神・教育理念に共感し、学問への意欲と、多様性・主体性への姿勢を持つ学生</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文学部 教育学科：本学の教育の理念を理解し、学ぶ意欲が高く、学科の求める学生像に合う学生を選抜（学科固有の方針本文は未確認）</w:t>
      </w:r>
    </w:p>
    <w:p>
      <w:pPr>
        <w:spacing w:after="40" w:before="40" w:line="300" w:lineRule="auto"/>
      </w:pPr>
      <w:r>
        <w:rPr>
          <w:rFonts w:ascii="游ゴシック" w:hAnsi="游ゴシック" w:eastAsia="游ゴシック"/>
          <w:b w:val="0"/>
          <w:color w:val="23301F"/>
          <w:sz w:val="21"/>
        </w:rPr>
        <w:t>同調圧力の中で子どもが意見を言えなくなる問題は、学級づくりの中心的なテーマである。結論の「子どもが自分の意見を言えるようにしたい」はそのまま教育学科の志望理由になる。具体的にどんな学級にしたいかまで書けると、さらに伝わる。</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要約では、課題文の具体的な出来事（今回は優先席）を一言入れる</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理由は主張のくり返しにならないよう、「なぜそう言えるか」を書く</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「日本人は〜だ」のような決めつけと、根拠のない数字を使わない</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