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jc w:val="center"/>
        <w:tblLayout w:type="fixed"/>
        <w:tblLook w:firstColumn="1" w:firstRow="1" w:lastColumn="0" w:lastRow="0" w:noHBand="0" w:noVBand="1" w:val="04A0"/>
      </w:tblPr>
      <w:tblGrid>
        <w:gridCol w:w="6237"/>
        <w:gridCol w:w="3402"/>
      </w:tblGrid>
      <w:tr>
        <w:tc>
          <w:tcPr>
            <w:tcW w:type="dxa" w:w="6236"/>
            <w:shd w:val="clear" w:color="auto" w:fill="2C5F2D"/>
            <w:vAlign w:val="center"/>
          </w:tcPr>
          <w:p>
            <w:pPr>
              <w:spacing w:after="0" w:line="288" w:lineRule="auto"/>
            </w:pPr>
            <w:r/>
            <w:r>
              <w:rPr>
                <w:rFonts w:ascii="游ゴシック" w:hAnsi="游ゴシック" w:eastAsia="游ゴシック"/>
                <w:b/>
                <w:color w:val="FFFFFF"/>
                <w:sz w:val="40"/>
              </w:rPr>
              <w:t>小論文 添削シート</w:t>
            </w:r>
          </w:p>
        </w:tc>
        <w:tc>
          <w:tcPr>
            <w:tcW w:type="dxa" w:w="3402"/>
            <w:shd w:val="clear" w:color="auto" w:fill="2C5F2D"/>
            <w:vAlign w:val="center"/>
          </w:tcPr>
          <w:p>
            <w:pPr>
              <w:spacing w:after="0" w:line="288" w:lineRule="auto"/>
              <w:jc w:val="right"/>
            </w:pPr>
            <w:r/>
            <w:r>
              <w:rPr>
                <w:rFonts w:ascii="游ゴシック" w:hAnsi="游ゴシック" w:eastAsia="游ゴシック"/>
                <w:b/>
                <w:color w:val="FFFFFF"/>
                <w:sz w:val="21"/>
              </w:rPr>
              <w:t>2026-10-23</w:t>
            </w:r>
          </w:p>
          <w:p>
            <w:pPr>
              <w:spacing w:after="0" w:line="288" w:lineRule="auto"/>
            </w:pPr>
            <w:r>
              <w:rPr>
                <w:rFonts w:ascii="游ゴシック" w:hAnsi="游ゴシック" w:eastAsia="游ゴシック"/>
                <w:b/>
                <w:color w:val="FFFFFF"/>
                <w:sz w:val="21"/>
              </w:rPr>
              <w:t>進ノ介</w:t>
            </w:r>
          </w:p>
        </w:tc>
      </w:tr>
    </w:tbl>
    <w:p>
      <w:pPr>
        <w:spacing w:after="40" w:before="0" w:line="300" w:lineRule="auto"/>
      </w:pP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134"/>
        <w:gridCol w:w="8505"/>
      </w:tblGrid>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志望</w:t>
            </w:r>
          </w:p>
        </w:tc>
        <w:tc>
          <w:tcPr>
            <w:tcW w:type="dxa" w:w="8504"/>
            <w:vAlign w:val="center"/>
          </w:tcPr>
          <w:p>
            <w:pPr>
              <w:spacing w:after="0" w:line="288" w:lineRule="auto"/>
            </w:pPr>
            <w:r/>
            <w:r>
              <w:rPr>
                <w:rFonts w:ascii="游ゴシック" w:hAnsi="游ゴシック" w:eastAsia="游ゴシック"/>
                <w:b w:val="0"/>
                <w:color w:val="23301F"/>
                <w:sz w:val="20"/>
              </w:rPr>
              <w:t>国士舘大学 21世紀アジア学部 総合型選抜 令和7年度 Ⅰ期（10月24日）・2回目</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題材</w:t>
            </w:r>
          </w:p>
        </w:tc>
        <w:tc>
          <w:tcPr>
            <w:tcW w:type="dxa" w:w="8504"/>
            <w:vAlign w:val="center"/>
          </w:tcPr>
          <w:p>
            <w:pPr>
              <w:spacing w:after="0" w:line="288" w:lineRule="auto"/>
            </w:pPr>
            <w:r/>
            <w:r>
              <w:rPr>
                <w:rFonts w:ascii="游ゴシック" w:hAnsi="游ゴシック" w:eastAsia="游ゴシック"/>
                <w:b w:val="0"/>
                <w:color w:val="23301F"/>
                <w:sz w:val="20"/>
              </w:rPr>
              <w:t>人生は宝くじ　／　ヨシタケシンスケ『思わず考えちゃう』</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設問</w:t>
            </w:r>
          </w:p>
        </w:tc>
        <w:tc>
          <w:tcPr>
            <w:tcW w:type="dxa" w:w="8504"/>
            <w:vAlign w:val="center"/>
          </w:tcPr>
          <w:p>
            <w:pPr>
              <w:spacing w:after="0" w:line="288" w:lineRule="auto"/>
            </w:pPr>
            <w:r/>
            <w:r>
              <w:rPr>
                <w:rFonts w:ascii="游ゴシック" w:hAnsi="游ゴシック" w:eastAsia="游ゴシック"/>
                <w:b w:val="0"/>
                <w:color w:val="23301F"/>
                <w:sz w:val="20"/>
              </w:rPr>
              <w:t>筆者の主張に対するあなたの意見を、具体的な経験や見聞きした事例をまじえて600字で述べなさい。</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字数</w:t>
            </w:r>
          </w:p>
        </w:tc>
        <w:tc>
          <w:tcPr>
            <w:tcW w:type="dxa" w:w="8504"/>
            <w:vAlign w:val="center"/>
          </w:tcPr>
          <w:p>
            <w:pPr>
              <w:spacing w:after="0" w:line="288" w:lineRule="auto"/>
            </w:pPr>
            <w:r/>
            <w:r>
              <w:rPr>
                <w:rFonts w:ascii="游ゴシック" w:hAnsi="游ゴシック" w:eastAsia="游ゴシック"/>
                <w:b w:val="0"/>
                <w:color w:val="23301F"/>
                <w:sz w:val="20"/>
              </w:rPr>
              <w:t>制限 600字以内　→　答案 592字（規定の範囲内）</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評価</w:t>
      </w:r>
    </w:p>
    <w:p>
      <w:pPr>
        <w:spacing w:after="80" w:before="0" w:line="300" w:lineRule="auto"/>
      </w:pPr>
      <w:r>
        <w:rPr>
          <w:rFonts w:ascii="游ゴシック" w:hAnsi="游ゴシック" w:eastAsia="游ゴシック"/>
          <w:b/>
          <w:color w:val="17321A"/>
          <w:sz w:val="24"/>
        </w:rPr>
        <w:t xml:space="preserve">総合 </w:t>
      </w:r>
      <w:r>
        <w:rPr>
          <w:rFonts w:ascii="游ゴシック" w:hAnsi="游ゴシック" w:eastAsia="游ゴシック"/>
          <w:b/>
          <w:color w:val="D9782D"/>
          <w:sz w:val="56"/>
        </w:rPr>
        <w:t>70</w:t>
      </w:r>
      <w:r>
        <w:rPr>
          <w:rFonts w:ascii="游ゴシック" w:hAnsi="游ゴシック" w:eastAsia="游ゴシック"/>
          <w:b/>
          <w:color w:val="17321A"/>
          <w:sz w:val="24"/>
        </w:rPr>
        <w:t xml:space="preserve"> / 100点</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2154"/>
        <w:gridCol w:w="1134"/>
        <w:gridCol w:w="6350"/>
      </w:tblGrid>
      <w:tr>
        <w:tc>
          <w:tcPr>
            <w:tcW w:type="dxa" w:w="2154"/>
            <w:shd w:val="clear" w:color="auto" w:fill="2C5F2D"/>
            <w:vAlign w:val="center"/>
          </w:tcPr>
          <w:p>
            <w:pPr>
              <w:spacing w:after="0" w:line="288" w:lineRule="auto"/>
              <w:jc w:val="center"/>
            </w:pPr>
            <w:r/>
            <w:r>
              <w:rPr>
                <w:rFonts w:ascii="游ゴシック" w:hAnsi="游ゴシック" w:eastAsia="游ゴシック"/>
                <w:b/>
                <w:color w:val="FFFFFF"/>
                <w:sz w:val="19"/>
              </w:rPr>
              <w:t>観点</w:t>
            </w:r>
          </w:p>
        </w:tc>
        <w:tc>
          <w:tcPr>
            <w:tcW w:type="dxa" w:w="1134"/>
            <w:shd w:val="clear" w:color="auto" w:fill="2C5F2D"/>
            <w:vAlign w:val="center"/>
          </w:tcPr>
          <w:p>
            <w:pPr>
              <w:spacing w:after="0" w:line="288" w:lineRule="auto"/>
              <w:jc w:val="center"/>
            </w:pPr>
            <w:r/>
            <w:r>
              <w:rPr>
                <w:rFonts w:ascii="游ゴシック" w:hAnsi="游ゴシック" w:eastAsia="游ゴシック"/>
                <w:b/>
                <w:color w:val="FFFFFF"/>
                <w:sz w:val="19"/>
              </w:rPr>
              <w:t>得点</w:t>
            </w:r>
          </w:p>
        </w:tc>
        <w:tc>
          <w:tcPr>
            <w:tcW w:type="dxa" w:w="6350"/>
            <w:shd w:val="clear" w:color="auto" w:fill="2C5F2D"/>
            <w:vAlign w:val="center"/>
          </w:tcPr>
          <w:p>
            <w:pPr>
              <w:spacing w:after="0" w:line="288" w:lineRule="auto"/>
              <w:jc w:val="center"/>
            </w:pPr>
            <w:r/>
            <w:r>
              <w:rPr>
                <w:rFonts w:ascii="游ゴシック" w:hAnsi="游ゴシック" w:eastAsia="游ゴシック"/>
                <w:b/>
                <w:color w:val="FFFFFF"/>
                <w:sz w:val="19"/>
              </w:rPr>
              <w:t>コメント</w:t>
            </w:r>
          </w:p>
        </w:tc>
      </w:tr>
      <w:tr>
        <w:tc>
          <w:tcPr>
            <w:tcW w:type="dxa" w:w="2154"/>
            <w:vAlign w:val="center"/>
          </w:tcPr>
          <w:p>
            <w:pPr>
              <w:spacing w:after="0" w:line="288" w:lineRule="auto"/>
            </w:pPr>
            <w:r/>
            <w:r>
              <w:rPr>
                <w:rFonts w:ascii="游ゴシック" w:hAnsi="游ゴシック" w:eastAsia="游ゴシック"/>
                <w:b/>
                <w:color w:val="17321A"/>
                <w:sz w:val="19"/>
              </w:rPr>
              <w:t>設問への応答</w:t>
            </w:r>
          </w:p>
        </w:tc>
        <w:tc>
          <w:tcPr>
            <w:tcW w:type="dxa" w:w="1134"/>
            <w:vAlign w:val="center"/>
          </w:tcPr>
          <w:p>
            <w:pPr>
              <w:spacing w:after="0" w:line="288" w:lineRule="auto"/>
              <w:jc w:val="center"/>
            </w:pPr>
            <w:r/>
            <w:r>
              <w:rPr>
                <w:rFonts w:ascii="游ゴシック" w:hAnsi="游ゴシック" w:eastAsia="游ゴシック"/>
                <w:b/>
                <w:color w:val="D9782D"/>
                <w:sz w:val="22"/>
              </w:rPr>
              <w:t>12 / 20</w:t>
            </w:r>
          </w:p>
        </w:tc>
        <w:tc>
          <w:tcPr>
            <w:tcW w:type="dxa" w:w="6350"/>
            <w:vAlign w:val="center"/>
          </w:tcPr>
          <w:p>
            <w:pPr>
              <w:spacing w:after="0" w:line="288" w:lineRule="auto"/>
            </w:pPr>
            <w:r/>
            <w:r>
              <w:rPr>
                <w:rFonts w:ascii="游ゴシック" w:hAnsi="游ゴシック" w:eastAsia="游ゴシック"/>
                <w:b w:val="0"/>
                <w:color w:val="23301F"/>
                <w:sz w:val="19"/>
              </w:rPr>
              <w:t>設問は「筆者の主張に対するあなたの意見」。今回も筆者・課題文（宝くじ方式）に一度も触れておらず、1回目と同じ課題が残っている。内容（失敗の受け止め方で次の行動が変わる／つらい経験も生かせる）は筆者の主張とよく重なっているので、書き出しで筆者の主張を一文示し、賛成と書くだけで設問にきちんと答えた答案になる。</w:t>
            </w:r>
          </w:p>
        </w:tc>
      </w:tr>
      <w:tr>
        <w:tc>
          <w:tcPr>
            <w:tcW w:type="dxa" w:w="2154"/>
            <w:vAlign w:val="center"/>
          </w:tcPr>
          <w:p>
            <w:pPr>
              <w:spacing w:after="0" w:line="288" w:lineRule="auto"/>
            </w:pPr>
            <w:r/>
            <w:r>
              <w:rPr>
                <w:rFonts w:ascii="游ゴシック" w:hAnsi="游ゴシック" w:eastAsia="游ゴシック"/>
                <w:b/>
                <w:color w:val="17321A"/>
                <w:sz w:val="19"/>
              </w:rPr>
              <w:t>構成・論理</w:t>
            </w:r>
          </w:p>
        </w:tc>
        <w:tc>
          <w:tcPr>
            <w:tcW w:type="dxa" w:w="1134"/>
            <w:vAlign w:val="center"/>
          </w:tcPr>
          <w:p>
            <w:pPr>
              <w:spacing w:after="0" w:line="288" w:lineRule="auto"/>
              <w:jc w:val="center"/>
            </w:pPr>
            <w:r/>
            <w:r>
              <w:rPr>
                <w:rFonts w:ascii="游ゴシック" w:hAnsi="游ゴシック" w:eastAsia="游ゴシック"/>
                <w:b/>
                <w:color w:val="D9782D"/>
                <w:sz w:val="22"/>
              </w:rPr>
              <w:t>15 / 20</w:t>
            </w:r>
          </w:p>
        </w:tc>
        <w:tc>
          <w:tcPr>
            <w:tcW w:type="dxa" w:w="6350"/>
            <w:vAlign w:val="center"/>
          </w:tcPr>
          <w:p>
            <w:pPr>
              <w:spacing w:after="0" w:line="288" w:lineRule="auto"/>
            </w:pPr>
            <w:r/>
            <w:r>
              <w:rPr>
                <w:rFonts w:ascii="游ゴシック" w:hAnsi="游ゴシック" w:eastAsia="游ゴシック"/>
                <w:b w:val="0"/>
                <w:color w:val="23301F"/>
                <w:sz w:val="19"/>
              </w:rPr>
              <w:t>主張→体験→「一方」の譲歩→まとめの流れがはっきりしている。譲歩を独立した段落にできた（前回の課題をクリア）。最後の段落の「情報があふれる今」は、それまでの話（失敗の受け止め方）から急に話題が変わるので、つながりを一言入れるか、削って結論を主張に戻したい。</w:t>
            </w:r>
          </w:p>
        </w:tc>
      </w:tr>
      <w:tr>
        <w:tc>
          <w:tcPr>
            <w:tcW w:type="dxa" w:w="2154"/>
            <w:vAlign w:val="center"/>
          </w:tcPr>
          <w:p>
            <w:pPr>
              <w:spacing w:after="0" w:line="288" w:lineRule="auto"/>
            </w:pPr>
            <w:r/>
            <w:r>
              <w:rPr>
                <w:rFonts w:ascii="游ゴシック" w:hAnsi="游ゴシック" w:eastAsia="游ゴシック"/>
                <w:b/>
                <w:color w:val="17321A"/>
                <w:sz w:val="19"/>
              </w:rPr>
              <w:t>根拠・具体性</w:t>
            </w:r>
          </w:p>
        </w:tc>
        <w:tc>
          <w:tcPr>
            <w:tcW w:type="dxa" w:w="1134"/>
            <w:vAlign w:val="center"/>
          </w:tcPr>
          <w:p>
            <w:pPr>
              <w:spacing w:after="0" w:line="288" w:lineRule="auto"/>
              <w:jc w:val="center"/>
            </w:pPr>
            <w:r/>
            <w:r>
              <w:rPr>
                <w:rFonts w:ascii="游ゴシック" w:hAnsi="游ゴシック" w:eastAsia="游ゴシック"/>
                <w:b/>
                <w:color w:val="D9782D"/>
                <w:sz w:val="22"/>
              </w:rPr>
              <w:t>17 / 20</w:t>
            </w:r>
          </w:p>
        </w:tc>
        <w:tc>
          <w:tcPr>
            <w:tcW w:type="dxa" w:w="6350"/>
            <w:vAlign w:val="center"/>
          </w:tcPr>
          <w:p>
            <w:pPr>
              <w:spacing w:after="0" w:line="288" w:lineRule="auto"/>
            </w:pPr>
            <w:r/>
            <w:r>
              <w:rPr>
                <w:rFonts w:ascii="游ゴシック" w:hAnsi="游ゴシック" w:eastAsia="游ゴシック"/>
                <w:b w:val="0"/>
                <w:color w:val="23301F"/>
                <w:sz w:val="19"/>
              </w:rPr>
              <w:t>グループ発表で友人に指摘され、悔しかったが考え直して説明を整理した、という体験が「出来事→気持ち→気づき→行動→学び」の順で具体的に書けていてとても良い。これはまさに筆者の言う「つらい経験が何かに化ける」例なので、その言葉で結ぶと課題文と強くつながる。</w:t>
            </w:r>
          </w:p>
        </w:tc>
      </w:tr>
      <w:tr>
        <w:tc>
          <w:tcPr>
            <w:tcW w:type="dxa" w:w="2154"/>
            <w:vAlign w:val="center"/>
          </w:tcPr>
          <w:p>
            <w:pPr>
              <w:spacing w:after="0" w:line="288" w:lineRule="auto"/>
            </w:pPr>
            <w:r/>
            <w:r>
              <w:rPr>
                <w:rFonts w:ascii="游ゴシック" w:hAnsi="游ゴシック" w:eastAsia="游ゴシック"/>
                <w:b/>
                <w:color w:val="17321A"/>
                <w:sz w:val="19"/>
              </w:rPr>
              <w:t>学部・アドミッションポリシーとの適合</w:t>
            </w:r>
          </w:p>
        </w:tc>
        <w:tc>
          <w:tcPr>
            <w:tcW w:type="dxa" w:w="1134"/>
            <w:vAlign w:val="center"/>
          </w:tcPr>
          <w:p>
            <w:pPr>
              <w:spacing w:after="0" w:line="288" w:lineRule="auto"/>
              <w:jc w:val="center"/>
            </w:pPr>
            <w:r/>
            <w:r>
              <w:rPr>
                <w:rFonts w:ascii="游ゴシック" w:hAnsi="游ゴシック" w:eastAsia="游ゴシック"/>
                <w:b/>
                <w:color w:val="D9782D"/>
                <w:sz w:val="22"/>
              </w:rPr>
              <w:t>11 / 20</w:t>
            </w:r>
          </w:p>
        </w:tc>
        <w:tc>
          <w:tcPr>
            <w:tcW w:type="dxa" w:w="6350"/>
            <w:vAlign w:val="center"/>
          </w:tcPr>
          <w:p>
            <w:pPr>
              <w:spacing w:after="0" w:line="288" w:lineRule="auto"/>
            </w:pPr>
            <w:r/>
            <w:r>
              <w:rPr>
                <w:rFonts w:ascii="游ゴシック" w:hAnsi="游ゴシック" w:eastAsia="游ゴシック"/>
                <w:b w:val="0"/>
                <w:color w:val="23301F"/>
                <w:sz w:val="19"/>
              </w:rPr>
              <w:t>前回の課題「結論で21世紀アジア学部での学びにつなげる」がまだできていない。「違う見方に耳を傾けたい」は、多様な文化や価値観を学ぶ学部と相性が良いので、「大学では異なる文化や価値観にふれる中で〜」と一言つなげたい。</w:t>
            </w:r>
          </w:p>
        </w:tc>
      </w:tr>
      <w:tr>
        <w:tc>
          <w:tcPr>
            <w:tcW w:type="dxa" w:w="2154"/>
            <w:vAlign w:val="center"/>
          </w:tcPr>
          <w:p>
            <w:pPr>
              <w:spacing w:after="0" w:line="288" w:lineRule="auto"/>
            </w:pPr>
            <w:r/>
            <w:r>
              <w:rPr>
                <w:rFonts w:ascii="游ゴシック" w:hAnsi="游ゴシック" w:eastAsia="游ゴシック"/>
                <w:b/>
                <w:color w:val="17321A"/>
                <w:sz w:val="19"/>
              </w:rPr>
              <w:t>表現・表記</w:t>
            </w:r>
          </w:p>
        </w:tc>
        <w:tc>
          <w:tcPr>
            <w:tcW w:type="dxa" w:w="1134"/>
            <w:vAlign w:val="center"/>
          </w:tcPr>
          <w:p>
            <w:pPr>
              <w:spacing w:after="0" w:line="288" w:lineRule="auto"/>
              <w:jc w:val="center"/>
            </w:pPr>
            <w:r/>
            <w:r>
              <w:rPr>
                <w:rFonts w:ascii="游ゴシック" w:hAnsi="游ゴシック" w:eastAsia="游ゴシック"/>
                <w:b/>
                <w:color w:val="D9782D"/>
                <w:sz w:val="22"/>
              </w:rPr>
              <w:t>15 / 20</w:t>
            </w:r>
          </w:p>
        </w:tc>
        <w:tc>
          <w:tcPr>
            <w:tcW w:type="dxa" w:w="6350"/>
            <w:vAlign w:val="center"/>
          </w:tcPr>
          <w:p>
            <w:pPr>
              <w:spacing w:after="0" w:line="288" w:lineRule="auto"/>
            </w:pPr>
            <w:r/>
            <w:r>
              <w:rPr>
                <w:rFonts w:ascii="游ゴシック" w:hAnsi="游ゴシック" w:eastAsia="游ゴシック"/>
                <w:b w:val="0"/>
                <w:color w:val="23301F"/>
                <w:sz w:val="19"/>
              </w:rPr>
              <w:t>592字（規定の99%）で字数は十分、文章も読みやすい。「発表など分かりやすくなる」（→発表が）、「次に生かせることは何か」と」の始めのかぎかっこ（「）の書き忘れ、「失敗をすぐ成功か失敗かで評価」の言葉の重なりを直した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総評</w:t>
      </w:r>
    </w:p>
    <w:p>
      <w:pPr>
        <w:spacing w:after="80" w:before="0" w:line="300" w:lineRule="auto"/>
      </w:pPr>
      <w:r>
        <w:rPr>
          <w:rFonts w:ascii="游ゴシック" w:hAnsi="游ゴシック" w:eastAsia="游ゴシック"/>
          <w:b w:val="0"/>
          <w:color w:val="23301F"/>
          <w:sz w:val="21"/>
        </w:rPr>
        <w:t>体験の書き方がとても上手で、悔しさから気づき、行動を変えて学んだことまでが具体的に伝わる。譲歩を独立した段落にでき、前回より構成も整った。ただし、設問は「筆者の主張に対するあなたの意見」なのに、今回も筆者・宝くじ方式に一度も触れていない。これは前回の最大の課題と同じで、本番では大きく減点される。内容は筆者の主張とよく重なっているので、冒頭で筆者の主張を一文で示し、体験の最後を「悔しかった経験が〜に化けた」と筆者の言葉で結べば、一気に高得点の答案になる。結論では、21世紀アジア学部での学びにつなげよう。</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良かったところ</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グループ発表の体験が「指摘→悔しさ→考え直す→整理→学び」の順で具体的に書けている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「一方、どんな出来事にも無理に良い意味を見つければよいとは思わない」と、譲歩を独立した段落にできた（前回の課題をクリア）</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「理不尽なことや人を傷つける言葉まで前向きに受け取る必要はない」は、考えの深さが伝わる良い一文</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字数をほぼいっぱい（592字）まで使い、文末も「である」調で統一できている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直すと伸びるところ</w:t>
      </w:r>
    </w:p>
    <w:p>
      <w:pPr>
        <w:spacing w:after="20" w:before="60" w:line="300" w:lineRule="auto"/>
      </w:pPr>
      <w:r>
        <w:rPr>
          <w:rFonts w:ascii="游ゴシック" w:hAnsi="游ゴシック" w:eastAsia="游ゴシック"/>
          <w:b/>
          <w:color w:val="17321A"/>
          <w:sz w:val="21"/>
        </w:rPr>
        <w:t>1. 書き出しで筆者の主張に触れる（前回からの最優先課題）</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「私は、物事を一つの見方だけで判断せず、別の角度から考えることが大切だと考える。」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設問は「筆者の主張に対するあなたの意見」。最初に「筆者は、自分の身に起こることをすべて『宝くじを買っている』と考えれば、つらい経験もいつか何かに化けるかもしれないと述べている。私はこの考えに賛成である。」と書いてから、今の一文につなげる。</w:t>
      </w:r>
    </w:p>
    <w:p>
      <w:pPr>
        <w:spacing w:after="20" w:before="60" w:line="300" w:lineRule="auto"/>
      </w:pPr>
      <w:r>
        <w:rPr>
          <w:rFonts w:ascii="游ゴシック" w:hAnsi="游ゴシック" w:eastAsia="游ゴシック"/>
          <w:b/>
          <w:color w:val="17321A"/>
          <w:sz w:val="21"/>
        </w:rPr>
        <w:t>2. 体験を筆者の言葉で結ぶ</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「指摘は努力を無意味にするものではなく、努力の生かし方を見直す機会にもなると学んだ。」</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とても良い学び。「悔しかった経験が、努力の生かし方を見直すきっかけに化けた」と、課題文の「化ける」を使うと、体験と筆者の主張がつながる。</w:t>
      </w:r>
    </w:p>
    <w:p>
      <w:pPr>
        <w:spacing w:after="20" w:before="60" w:line="300" w:lineRule="auto"/>
      </w:pPr>
      <w:r>
        <w:rPr>
          <w:rFonts w:ascii="游ゴシック" w:hAnsi="游ゴシック" w:eastAsia="游ゴシック"/>
          <w:b/>
          <w:color w:val="17321A"/>
          <w:sz w:val="21"/>
        </w:rPr>
        <w:t>3. 最後の段落の話題を主張に戻す</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「情報があふれる今、失敗をすぐ成功か失敗かで評価したり、他人の意見に流されたりしやすい。」</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「情報があふれる今」は、ここまでの話から急に話題が変わる。削って、「物事の意味は初めから一つに決まっていない」という主張に戻して締める方がまとまる。</w:t>
      </w:r>
    </w:p>
    <w:p>
      <w:pPr>
        <w:spacing w:after="20" w:before="60" w:line="300" w:lineRule="auto"/>
      </w:pPr>
      <w:r>
        <w:rPr>
          <w:rFonts w:ascii="游ゴシック" w:hAnsi="游ゴシック" w:eastAsia="游ゴシック"/>
          <w:b/>
          <w:color w:val="17321A"/>
          <w:sz w:val="21"/>
        </w:rPr>
        <w:t>4. 結論で学部の学びにつなげる（前回からの課題）</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「違う見方にも耳を傾けたい。」</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「大学では、異なる文化や価値観にふれる中で、最初の印象で決めつけず、違う見方に耳を傾ける姿勢を身につけたい」のように、21世紀アジア学部で学ぶことに一言つなげる。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あなたの答案（592字）</w:t>
      </w:r>
    </w:p>
    <w:tbl>
      <w:tblPr>
        <w:tblW w:w="9639" w:type="dxa"/>
        <w:jc w:val="center"/>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360"/>
        <w:gridCol w:w="8278"/>
      </w:tblGrid>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序論</w:t>
            </w:r>
          </w:p>
          <w:p>
            <w:pPr>
              <w:spacing w:after="0" w:line="288" w:lineRule="auto"/>
            </w:pPr>
            <w:r>
              <w:rPr>
                <w:rFonts w:ascii="游ゴシック" w:hAnsi="游ゴシック" w:eastAsia="游ゴシック"/>
                <w:b/>
                <w:color w:val="2C5F2D"/>
                <w:sz w:val="19"/>
              </w:rPr>
              <w:t>107字</w:t>
            </w:r>
          </w:p>
        </w:tc>
        <w:tc>
          <w:tcPr>
            <w:tcW w:type="dxa" w:w="8277"/>
            <w:vAlign w:val="center"/>
          </w:tcPr>
          <w:p>
            <w:pPr>
              <w:spacing w:after="0" w:line="288" w:lineRule="auto"/>
            </w:pPr>
            <w:r/>
            <w:r>
              <w:rPr>
                <w:rFonts w:ascii="游明朝" w:hAnsi="游明朝" w:eastAsia="游明朝"/>
                <w:b w:val="0"/>
                <w:color w:val="23301F"/>
                <w:sz w:val="21"/>
              </w:rPr>
              <w:t>私は、物事を一つの見方だけで判断せず、別の角度から考えることが大切だと考える。失敗すると、すぐに「無駄だった」「自分には向いていない」と結論づけがちである。しかし、出来事の受け止め方によって、その後の行動は変わる。</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体験</w:t>
            </w:r>
          </w:p>
          <w:p>
            <w:pPr>
              <w:spacing w:after="0" w:line="288" w:lineRule="auto"/>
            </w:pPr>
            <w:r>
              <w:rPr>
                <w:rFonts w:ascii="游ゴシック" w:hAnsi="游ゴシック" w:eastAsia="游ゴシック"/>
                <w:b/>
                <w:color w:val="2C5F2D"/>
                <w:sz w:val="19"/>
              </w:rPr>
              <w:t>260字</w:t>
            </w:r>
          </w:p>
        </w:tc>
        <w:tc>
          <w:tcPr>
            <w:tcW w:type="dxa" w:w="8277"/>
            <w:vAlign w:val="center"/>
          </w:tcPr>
          <w:p>
            <w:pPr>
              <w:spacing w:after="0" w:line="288" w:lineRule="auto"/>
            </w:pPr>
            <w:r/>
            <w:r>
              <w:rPr>
                <w:rFonts w:ascii="游明朝" w:hAnsi="游明朝" w:eastAsia="游明朝"/>
                <w:b w:val="0"/>
                <w:color w:val="23301F"/>
                <w:sz w:val="21"/>
              </w:rPr>
              <w:t>学校でグループ発表を準備していたとき、私は担当部分を詳しく説明すれば、発表など分かりやすくなると考えていた。ところが、練習を聞いた友人から「情報は多いけれど、何を伝えたいのか分かりにくい」と指摘された。最初は、時間をかけて調べたことが否定されたようでとても悔しかった。しかしその後、考え直すと、内容を増やすことと、相手に伝わることは同じではないと気が付いた。そこで、要点を先に決めて説明を整理すると発表の流れが明確になった。この経験から、指摘は努力を無意味にするものではなく、努力の生かし方を見直す機会にもなると学んだ。</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譲歩</w:t>
            </w:r>
          </w:p>
          <w:p>
            <w:pPr>
              <w:spacing w:after="0" w:line="288" w:lineRule="auto"/>
            </w:pPr>
            <w:r>
              <w:rPr>
                <w:rFonts w:ascii="游ゴシック" w:hAnsi="游ゴシック" w:eastAsia="游ゴシック"/>
                <w:b/>
                <w:color w:val="2C5F2D"/>
                <w:sz w:val="19"/>
              </w:rPr>
              <w:t>126字</w:t>
            </w:r>
          </w:p>
        </w:tc>
        <w:tc>
          <w:tcPr>
            <w:tcW w:type="dxa" w:w="8277"/>
            <w:vAlign w:val="center"/>
          </w:tcPr>
          <w:p>
            <w:pPr>
              <w:spacing w:after="0" w:line="288" w:lineRule="auto"/>
            </w:pPr>
            <w:r/>
            <w:r>
              <w:rPr>
                <w:rFonts w:ascii="游明朝" w:hAnsi="游明朝" w:eastAsia="游明朝"/>
                <w:b w:val="0"/>
                <w:color w:val="23301F"/>
                <w:sz w:val="21"/>
              </w:rPr>
              <w:t>一方、どんな出来事にも無理に良い意味を見つければよいとは思わない。理不尽なことや人を傷つける言葉まで、前向きに受け取る必要はない。原因を確かめ、改善すべき場合もある。大切なのは、自身の悔しさを否定せず、そのうえで次に生かせることは何か」と考えることだ。</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結論</w:t>
            </w:r>
          </w:p>
          <w:p>
            <w:pPr>
              <w:spacing w:after="0" w:line="288" w:lineRule="auto"/>
            </w:pPr>
            <w:r>
              <w:rPr>
                <w:rFonts w:ascii="游ゴシック" w:hAnsi="游ゴシック" w:eastAsia="游ゴシック"/>
                <w:b/>
                <w:color w:val="2C5F2D"/>
                <w:sz w:val="19"/>
              </w:rPr>
              <w:t>99字</w:t>
            </w:r>
          </w:p>
        </w:tc>
        <w:tc>
          <w:tcPr>
            <w:tcW w:type="dxa" w:w="8277"/>
            <w:vAlign w:val="center"/>
          </w:tcPr>
          <w:p>
            <w:pPr>
              <w:spacing w:after="0" w:line="288" w:lineRule="auto"/>
            </w:pPr>
            <w:r/>
            <w:r>
              <w:rPr>
                <w:rFonts w:ascii="游明朝" w:hAnsi="游明朝" w:eastAsia="游明朝"/>
                <w:b w:val="0"/>
                <w:color w:val="23301F"/>
                <w:sz w:val="21"/>
              </w:rPr>
              <w:t>情報があふれる今、失敗をすぐ成功か失敗かで評価したり、他人の意見に流されたりしやすい。だからこそ、最初の印象で決めつけず、違う見方にも耳を傾けたい。物事の意味は初めから一つに決まっているのではな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表記・表現の直し</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3402"/>
        <w:gridCol w:w="3402"/>
        <w:gridCol w:w="2835"/>
      </w:tblGrid>
      <w:tr>
        <w:tc>
          <w:tcPr>
            <w:tcW w:type="dxa" w:w="3402"/>
            <w:shd w:val="clear" w:color="auto" w:fill="2C5F2D"/>
            <w:vAlign w:val="center"/>
          </w:tcPr>
          <w:p>
            <w:pPr>
              <w:spacing w:after="0" w:line="288" w:lineRule="auto"/>
              <w:jc w:val="center"/>
            </w:pPr>
            <w:r/>
            <w:r>
              <w:rPr>
                <w:rFonts w:ascii="游ゴシック" w:hAnsi="游ゴシック" w:eastAsia="游ゴシック"/>
                <w:b/>
                <w:color w:val="FFFFFF"/>
                <w:sz w:val="19"/>
              </w:rPr>
              <w:t>答案</w:t>
            </w:r>
          </w:p>
        </w:tc>
        <w:tc>
          <w:tcPr>
            <w:tcW w:type="dxa" w:w="3402"/>
            <w:shd w:val="clear" w:color="auto" w:fill="2C5F2D"/>
            <w:vAlign w:val="center"/>
          </w:tcPr>
          <w:p>
            <w:pPr>
              <w:spacing w:after="0" w:line="288" w:lineRule="auto"/>
              <w:jc w:val="center"/>
            </w:pPr>
            <w:r/>
            <w:r>
              <w:rPr>
                <w:rFonts w:ascii="游ゴシック" w:hAnsi="游ゴシック" w:eastAsia="游ゴシック"/>
                <w:b/>
                <w:color w:val="FFFFFF"/>
                <w:sz w:val="19"/>
              </w:rPr>
              <w:t>直し</w:t>
            </w:r>
          </w:p>
        </w:tc>
        <w:tc>
          <w:tcPr>
            <w:tcW w:type="dxa" w:w="2835"/>
            <w:shd w:val="clear" w:color="auto" w:fill="2C5F2D"/>
            <w:vAlign w:val="center"/>
          </w:tcPr>
          <w:p>
            <w:pPr>
              <w:spacing w:after="0" w:line="288" w:lineRule="auto"/>
              <w:jc w:val="center"/>
            </w:pPr>
            <w:r/>
            <w:r>
              <w:rPr>
                <w:rFonts w:ascii="游ゴシック" w:hAnsi="游ゴシック" w:eastAsia="游ゴシック"/>
                <w:b/>
                <w:color w:val="FFFFFF"/>
                <w:sz w:val="19"/>
              </w:rPr>
              <w:t>理由</w:t>
            </w:r>
          </w:p>
        </w:tc>
      </w:tr>
      <w:tr>
        <w:tc>
          <w:tcPr>
            <w:tcW w:type="dxa" w:w="3402"/>
            <w:vAlign w:val="center"/>
          </w:tcPr>
          <w:p>
            <w:pPr>
              <w:spacing w:after="0" w:line="288" w:lineRule="auto"/>
            </w:pPr>
            <w:r/>
            <w:r>
              <w:rPr>
                <w:rFonts w:ascii="游明朝" w:hAnsi="游明朝" w:eastAsia="游明朝"/>
                <w:b w:val="0"/>
                <w:color w:val="23301F"/>
                <w:sz w:val="19"/>
              </w:rPr>
              <w:t>説明すれば、発表など分かりやすくなる</w:t>
            </w:r>
          </w:p>
        </w:tc>
        <w:tc>
          <w:tcPr>
            <w:tcW w:type="dxa" w:w="3402"/>
            <w:vAlign w:val="center"/>
          </w:tcPr>
          <w:p>
            <w:pPr>
              <w:spacing w:after="0" w:line="288" w:lineRule="auto"/>
            </w:pPr>
            <w:r/>
            <w:r>
              <w:rPr>
                <w:rFonts w:ascii="游明朝" w:hAnsi="游明朝" w:eastAsia="游明朝"/>
                <w:b/>
                <w:color w:val="2C5F2D"/>
                <w:sz w:val="19"/>
              </w:rPr>
              <w:t>説明すれば、発表が分かりやすくなる</w:t>
            </w:r>
          </w:p>
        </w:tc>
        <w:tc>
          <w:tcPr>
            <w:tcW w:type="dxa" w:w="2835"/>
            <w:vAlign w:val="center"/>
          </w:tcPr>
          <w:p>
            <w:pPr>
              <w:spacing w:after="0" w:line="288" w:lineRule="auto"/>
            </w:pPr>
            <w:r/>
            <w:r>
              <w:rPr>
                <w:rFonts w:ascii="游ゴシック" w:hAnsi="游ゴシック" w:eastAsia="游ゴシック"/>
                <w:b w:val="0"/>
                <w:color w:val="23301F"/>
                <w:sz w:val="18"/>
              </w:rPr>
              <w:t>「など」では意味が通らない。主語を示す「が」にする</w:t>
            </w:r>
          </w:p>
        </w:tc>
      </w:tr>
      <w:tr>
        <w:tc>
          <w:tcPr>
            <w:tcW w:type="dxa" w:w="3402"/>
            <w:vAlign w:val="center"/>
          </w:tcPr>
          <w:p>
            <w:pPr>
              <w:spacing w:after="0" w:line="288" w:lineRule="auto"/>
            </w:pPr>
            <w:r/>
            <w:r>
              <w:rPr>
                <w:rFonts w:ascii="游明朝" w:hAnsi="游明朝" w:eastAsia="游明朝"/>
                <w:b w:val="0"/>
                <w:color w:val="23301F"/>
                <w:sz w:val="19"/>
              </w:rPr>
              <w:t>次に生かせることは何か」と考える</w:t>
            </w:r>
          </w:p>
        </w:tc>
        <w:tc>
          <w:tcPr>
            <w:tcW w:type="dxa" w:w="3402"/>
            <w:vAlign w:val="center"/>
          </w:tcPr>
          <w:p>
            <w:pPr>
              <w:spacing w:after="0" w:line="288" w:lineRule="auto"/>
            </w:pPr>
            <w:r/>
            <w:r>
              <w:rPr>
                <w:rFonts w:ascii="游明朝" w:hAnsi="游明朝" w:eastAsia="游明朝"/>
                <w:b/>
                <w:color w:val="2C5F2D"/>
                <w:sz w:val="19"/>
              </w:rPr>
              <w:t>「次に生かせることは何か」と考える</w:t>
            </w:r>
          </w:p>
        </w:tc>
        <w:tc>
          <w:tcPr>
            <w:tcW w:type="dxa" w:w="2835"/>
            <w:vAlign w:val="center"/>
          </w:tcPr>
          <w:p>
            <w:pPr>
              <w:spacing w:after="0" w:line="288" w:lineRule="auto"/>
            </w:pPr>
            <w:r/>
            <w:r>
              <w:rPr>
                <w:rFonts w:ascii="游ゴシック" w:hAnsi="游ゴシック" w:eastAsia="游ゴシック"/>
                <w:b w:val="0"/>
                <w:color w:val="23301F"/>
                <w:sz w:val="18"/>
              </w:rPr>
              <w:t>始めのかぎかっこ（「）が抜けている</w:t>
            </w:r>
          </w:p>
        </w:tc>
      </w:tr>
      <w:tr>
        <w:tc>
          <w:tcPr>
            <w:tcW w:type="dxa" w:w="3402"/>
            <w:vAlign w:val="center"/>
          </w:tcPr>
          <w:p>
            <w:pPr>
              <w:spacing w:after="0" w:line="288" w:lineRule="auto"/>
            </w:pPr>
            <w:r/>
            <w:r>
              <w:rPr>
                <w:rFonts w:ascii="游明朝" w:hAnsi="游明朝" w:eastAsia="游明朝"/>
                <w:b w:val="0"/>
                <w:color w:val="23301F"/>
                <w:sz w:val="19"/>
              </w:rPr>
              <w:t>失敗をすぐ成功か失敗かで評価したり</w:t>
            </w:r>
          </w:p>
        </w:tc>
        <w:tc>
          <w:tcPr>
            <w:tcW w:type="dxa" w:w="3402"/>
            <w:vAlign w:val="center"/>
          </w:tcPr>
          <w:p>
            <w:pPr>
              <w:spacing w:after="0" w:line="288" w:lineRule="auto"/>
            </w:pPr>
            <w:r/>
            <w:r>
              <w:rPr>
                <w:rFonts w:ascii="游明朝" w:hAnsi="游明朝" w:eastAsia="游明朝"/>
                <w:b/>
                <w:color w:val="2C5F2D"/>
                <w:sz w:val="19"/>
              </w:rPr>
              <w:t>出来事をすぐ成功か失敗かで評価したり</w:t>
            </w:r>
          </w:p>
        </w:tc>
        <w:tc>
          <w:tcPr>
            <w:tcW w:type="dxa" w:w="2835"/>
            <w:vAlign w:val="center"/>
          </w:tcPr>
          <w:p>
            <w:pPr>
              <w:spacing w:after="0" w:line="288" w:lineRule="auto"/>
            </w:pPr>
            <w:r/>
            <w:r>
              <w:rPr>
                <w:rFonts w:ascii="游ゴシック" w:hAnsi="游ゴシック" w:eastAsia="游ゴシック"/>
                <w:b w:val="0"/>
                <w:color w:val="23301F"/>
                <w:sz w:val="18"/>
              </w:rPr>
              <w:t>「失敗を〜失敗かで」と言葉が重なっている</w:t>
            </w:r>
          </w:p>
        </w:tc>
      </w:tr>
      <w:tr>
        <w:tc>
          <w:tcPr>
            <w:tcW w:type="dxa" w:w="3402"/>
            <w:vAlign w:val="center"/>
          </w:tcPr>
          <w:p>
            <w:pPr>
              <w:spacing w:after="0" w:line="288" w:lineRule="auto"/>
            </w:pPr>
            <w:r/>
            <w:r>
              <w:rPr>
                <w:rFonts w:ascii="游明朝" w:hAnsi="游明朝" w:eastAsia="游明朝"/>
                <w:b w:val="0"/>
                <w:color w:val="23301F"/>
                <w:sz w:val="19"/>
              </w:rPr>
              <w:t>しかしその後、考え直すと、</w:t>
            </w:r>
          </w:p>
        </w:tc>
        <w:tc>
          <w:tcPr>
            <w:tcW w:type="dxa" w:w="3402"/>
            <w:vAlign w:val="center"/>
          </w:tcPr>
          <w:p>
            <w:pPr>
              <w:spacing w:after="0" w:line="288" w:lineRule="auto"/>
            </w:pPr>
            <w:r/>
            <w:r>
              <w:rPr>
                <w:rFonts w:ascii="游明朝" w:hAnsi="游明朝" w:eastAsia="游明朝"/>
                <w:b/>
                <w:color w:val="2C5F2D"/>
                <w:sz w:val="19"/>
              </w:rPr>
              <w:t>しかし、考え直すと、</w:t>
            </w:r>
          </w:p>
        </w:tc>
        <w:tc>
          <w:tcPr>
            <w:tcW w:type="dxa" w:w="2835"/>
            <w:vAlign w:val="center"/>
          </w:tcPr>
          <w:p>
            <w:pPr>
              <w:spacing w:after="0" w:line="288" w:lineRule="auto"/>
            </w:pPr>
            <w:r/>
            <w:r>
              <w:rPr>
                <w:rFonts w:ascii="游ゴシック" w:hAnsi="游ゴシック" w:eastAsia="游ゴシック"/>
                <w:b w:val="0"/>
                <w:color w:val="23301F"/>
                <w:sz w:val="18"/>
              </w:rPr>
              <w:t>「その後」がなくても意味が通り、読点の位置もそろう</w:t>
            </w:r>
          </w:p>
        </w:tc>
      </w:tr>
      <w:tr>
        <w:tc>
          <w:tcPr>
            <w:tcW w:type="dxa" w:w="3402"/>
            <w:vAlign w:val="center"/>
          </w:tcPr>
          <w:p>
            <w:pPr>
              <w:spacing w:after="0" w:line="288" w:lineRule="auto"/>
            </w:pPr>
            <w:r/>
            <w:r>
              <w:rPr>
                <w:rFonts w:ascii="游明朝" w:hAnsi="游明朝" w:eastAsia="游明朝"/>
                <w:b w:val="0"/>
                <w:color w:val="23301F"/>
                <w:sz w:val="19"/>
              </w:rPr>
              <w:t>自身の悔しさ</w:t>
            </w:r>
          </w:p>
        </w:tc>
        <w:tc>
          <w:tcPr>
            <w:tcW w:type="dxa" w:w="3402"/>
            <w:vAlign w:val="center"/>
          </w:tcPr>
          <w:p>
            <w:pPr>
              <w:spacing w:after="0" w:line="288" w:lineRule="auto"/>
            </w:pPr>
            <w:r/>
            <w:r>
              <w:rPr>
                <w:rFonts w:ascii="游明朝" w:hAnsi="游明朝" w:eastAsia="游明朝"/>
                <w:b/>
                <w:color w:val="2C5F2D"/>
                <w:sz w:val="19"/>
              </w:rPr>
              <w:t>自分の悔しさ</w:t>
            </w:r>
          </w:p>
        </w:tc>
        <w:tc>
          <w:tcPr>
            <w:tcW w:type="dxa" w:w="2835"/>
            <w:vAlign w:val="center"/>
          </w:tcPr>
          <w:p>
            <w:pPr>
              <w:spacing w:after="0" w:line="288" w:lineRule="auto"/>
            </w:pPr>
            <w:r/>
            <w:r>
              <w:rPr>
                <w:rFonts w:ascii="游ゴシック" w:hAnsi="游ゴシック" w:eastAsia="游ゴシック"/>
                <w:b w:val="0"/>
                <w:color w:val="23301F"/>
                <w:sz w:val="18"/>
              </w:rPr>
              <w:t>ほかの部分（「自分には向いていない」）とそろえる</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構成の見直し（Q3 段落メモ）</w:t>
      </w:r>
    </w:p>
    <w:p>
      <w:pPr>
        <w:spacing w:after="80" w:before="0" w:line="300" w:lineRule="auto"/>
      </w:pPr>
      <w:r>
        <w:rPr>
          <w:rFonts w:ascii="游ゴシック" w:hAnsi="游ゴシック" w:eastAsia="游ゴシック"/>
          <w:b w:val="0"/>
          <w:color w:val="5B6B54"/>
          <w:sz w:val="19"/>
        </w:rPr>
        <w:t>左があなたの答案の骨組み、右がおすすめの骨組み。書く前にこのメモを作れば、構成は安定する。</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4819"/>
        <w:gridCol w:w="4819"/>
      </w:tblGrid>
      <w:tr>
        <w:tc>
          <w:tcPr>
            <w:tcW w:type="dxa" w:w="4819"/>
            <w:shd w:val="clear" w:color="auto" w:fill="2C5F2D"/>
            <w:vAlign w:val="center"/>
          </w:tcPr>
          <w:p>
            <w:pPr>
              <w:spacing w:after="0" w:line="288" w:lineRule="auto"/>
              <w:jc w:val="center"/>
            </w:pPr>
            <w:r/>
            <w:r>
              <w:rPr>
                <w:rFonts w:ascii="游ゴシック" w:hAnsi="游ゴシック" w:eastAsia="游ゴシック"/>
                <w:b/>
                <w:color w:val="FFFFFF"/>
                <w:sz w:val="19"/>
              </w:rPr>
              <w:t>あなたの答案</w:t>
            </w:r>
          </w:p>
        </w:tc>
        <w:tc>
          <w:tcPr>
            <w:tcW w:type="dxa" w:w="4819"/>
            <w:shd w:val="clear" w:color="auto" w:fill="D9782D"/>
            <w:vAlign w:val="center"/>
          </w:tcPr>
          <w:p>
            <w:pPr>
              <w:spacing w:after="0" w:line="288" w:lineRule="auto"/>
              <w:jc w:val="center"/>
            </w:pPr>
            <w:r/>
            <w:r>
              <w:rPr>
                <w:rFonts w:ascii="游ゴシック" w:hAnsi="游ゴシック" w:eastAsia="游ゴシック"/>
                <w:b/>
                <w:color w:val="FFFFFF"/>
                <w:sz w:val="19"/>
              </w:rPr>
              <w:t>おすすめの構成メモ</w:t>
            </w:r>
          </w:p>
        </w:tc>
      </w:tr>
      <w:tr>
        <w:tc>
          <w:tcPr>
            <w:tcW w:type="dxa" w:w="4819"/>
            <w:vAlign w:val="center"/>
          </w:tcPr>
          <w:p>
            <w:pPr>
              <w:spacing w:after="0" w:line="288" w:lineRule="auto"/>
            </w:pPr>
            <w:r/>
            <w:r>
              <w:rPr>
                <w:rFonts w:ascii="游ゴシック" w:hAnsi="游ゴシック" w:eastAsia="游ゴシック"/>
                <w:b w:val="0"/>
                <w:color w:val="23301F"/>
                <w:sz w:val="19"/>
              </w:rPr>
              <w:t>【序論】一つの見方で判断せず別の角度から／失敗＝無駄と結論づけがち／受け止め方で行動が変わる（筆者に触れていない）</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【序論】筆者：すべて宝くじと考える → つらい経験も化けるかも → 賛成／受け止め方で行動が変わる</w:t>
            </w:r>
          </w:p>
        </w:tc>
      </w:tr>
      <w:tr>
        <w:tc>
          <w:tcPr>
            <w:tcW w:type="dxa" w:w="4819"/>
            <w:vAlign w:val="center"/>
          </w:tcPr>
          <w:p>
            <w:pPr>
              <w:spacing w:after="0" w:line="288" w:lineRule="auto"/>
            </w:pPr>
            <w:r/>
            <w:r>
              <w:rPr>
                <w:rFonts w:ascii="游ゴシック" w:hAnsi="游ゴシック" w:eastAsia="游ゴシック"/>
                <w:b w:val="0"/>
                <w:color w:val="23301F"/>
                <w:sz w:val="19"/>
              </w:rPr>
              <w:t>【体験】グループ発表 → 友人の指摘 → 悔しい → 考え直す → 要点を整理 → 指摘は努力の生かし方を見直す機会</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【体験】グループ発表 → 指摘・悔しさ → 整理して明確に → 悔しい経験が「化けた」</w:t>
            </w:r>
          </w:p>
        </w:tc>
      </w:tr>
      <w:tr>
        <w:tc>
          <w:tcPr>
            <w:tcW w:type="dxa" w:w="4819"/>
            <w:vAlign w:val="center"/>
          </w:tcPr>
          <w:p>
            <w:pPr>
              <w:spacing w:after="0" w:line="288" w:lineRule="auto"/>
            </w:pPr>
            <w:r/>
            <w:r>
              <w:rPr>
                <w:rFonts w:ascii="游ゴシック" w:hAnsi="游ゴシック" w:eastAsia="游ゴシック"/>
                <w:b w:val="0"/>
                <w:color w:val="23301F"/>
                <w:sz w:val="19"/>
              </w:rPr>
              <w:t>【譲歩】何でも良い意味を見つければよいわけではない／理不尽なことまで前向きに受け取る必要はない／悔しさを否定せず次に生かす</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【譲歩】一方、何でも前向きに受け取る必要はない／悔しさを否定せず「次に生かせることは何か」</w:t>
            </w:r>
          </w:p>
        </w:tc>
      </w:tr>
      <w:tr>
        <w:tc>
          <w:tcPr>
            <w:tcW w:type="dxa" w:w="4819"/>
            <w:vAlign w:val="center"/>
          </w:tcPr>
          <w:p>
            <w:pPr>
              <w:spacing w:after="0" w:line="288" w:lineRule="auto"/>
            </w:pPr>
            <w:r/>
            <w:r>
              <w:rPr>
                <w:rFonts w:ascii="游ゴシック" w:hAnsi="游ゴシック" w:eastAsia="游ゴシック"/>
                <w:b w:val="0"/>
                <w:color w:val="23301F"/>
                <w:sz w:val="19"/>
              </w:rPr>
              <w:t>【結論】情報があふれる今（話題が変わる）→ 決めつけず違う見方に耳を傾けたい／意味は一つに決まっていない</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【結論】意味は初めから一つではない → 大学で異なる文化・価値観にふれ、違う見方に耳を傾ける</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書き直し例（567字）</w:t>
      </w:r>
    </w:p>
    <w:p>
      <w:pPr>
        <w:spacing w:after="80" w:before="0" w:line="300" w:lineRule="auto"/>
      </w:pPr>
      <w:r>
        <w:rPr>
          <w:rFonts w:ascii="游ゴシック" w:hAnsi="游ゴシック" w:eastAsia="游ゴシック"/>
          <w:b w:val="0"/>
          <w:color w:val="5B6B54"/>
          <w:sz w:val="19"/>
        </w:rPr>
        <w:t>あなたの考えを生かしたまま直した一例。丸写しせず、どこが変わったかを比べて読むこと。</w:t>
      </w:r>
    </w:p>
    <w:tbl>
      <w:tblPr>
        <w:tblW w:w="9639" w:type="dxa"/>
        <w:jc w:val="center"/>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360"/>
        <w:gridCol w:w="8278"/>
      </w:tblGrid>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序論</w:t>
            </w:r>
          </w:p>
          <w:p>
            <w:pPr>
              <w:spacing w:after="0" w:line="288" w:lineRule="auto"/>
            </w:pPr>
            <w:r>
              <w:rPr>
                <w:rFonts w:ascii="游ゴシック" w:hAnsi="游ゴシック" w:eastAsia="游ゴシック"/>
                <w:b/>
                <w:color w:val="2C5F2D"/>
                <w:sz w:val="19"/>
              </w:rPr>
              <w:t>143字</w:t>
            </w:r>
          </w:p>
        </w:tc>
        <w:tc>
          <w:tcPr>
            <w:tcW w:type="dxa" w:w="8277"/>
            <w:vAlign w:val="center"/>
          </w:tcPr>
          <w:p>
            <w:pPr>
              <w:spacing w:after="0" w:line="288" w:lineRule="auto"/>
            </w:pPr>
            <w:r/>
            <w:r>
              <w:rPr>
                <w:rFonts w:ascii="游明朝" w:hAnsi="游明朝" w:eastAsia="游明朝"/>
                <w:b w:val="0"/>
                <w:color w:val="23301F"/>
                <w:sz w:val="21"/>
              </w:rPr>
              <w:t>筆者は、自分の身に起こることをすべて「宝くじを買っている」と考えれば、つらい経験もいつか何かに化けるかもしれず、嫌なことも何とか乗り切れると述べている。私はこの考えに賛成である。失敗すると、すぐに「無駄だった」と結論づけがちだが、出来事の受け止め方によって、その後の行動は変わるからだ。</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体験</w:t>
            </w:r>
          </w:p>
          <w:p>
            <w:pPr>
              <w:spacing w:after="0" w:line="288" w:lineRule="auto"/>
            </w:pPr>
            <w:r>
              <w:rPr>
                <w:rFonts w:ascii="游ゴシック" w:hAnsi="游ゴシック" w:eastAsia="游ゴシック"/>
                <w:b/>
                <w:color w:val="2C5F2D"/>
                <w:sz w:val="19"/>
              </w:rPr>
              <w:t>236字</w:t>
            </w:r>
          </w:p>
        </w:tc>
        <w:tc>
          <w:tcPr>
            <w:tcW w:type="dxa" w:w="8277"/>
            <w:vAlign w:val="center"/>
          </w:tcPr>
          <w:p>
            <w:pPr>
              <w:spacing w:after="0" w:line="288" w:lineRule="auto"/>
            </w:pPr>
            <w:r/>
            <w:r>
              <w:rPr>
                <w:rFonts w:ascii="游明朝" w:hAnsi="游明朝" w:eastAsia="游明朝"/>
                <w:b w:val="0"/>
                <w:color w:val="23301F"/>
                <w:sz w:val="21"/>
              </w:rPr>
              <w:t>学校でグループ発表を準備していたとき、私は担当部分を詳しく説明すれば、発表が分かりやすくなると考えていた。ところが、練習を聞いた友人から「情報は多いけれど、何を伝えたいのか分かりにくい」と指摘された。時間をかけて調べたことが否定されたようで、とても悔しかった。しかし考え直すと、内容を増やすことと相手に伝わることは同じではないと気が付いた。そこで要点を先に決めて説明を整理すると、発表の流れが明確になった。悔しかった経験が、努力の生かし方を見直すきっかけに化けたのであ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譲歩</w:t>
            </w:r>
          </w:p>
          <w:p>
            <w:pPr>
              <w:spacing w:after="0" w:line="288" w:lineRule="auto"/>
            </w:pPr>
            <w:r>
              <w:rPr>
                <w:rFonts w:ascii="游ゴシック" w:hAnsi="游ゴシック" w:eastAsia="游ゴシック"/>
                <w:b/>
                <w:color w:val="2C5F2D"/>
                <w:sz w:val="19"/>
              </w:rPr>
              <w:t>109字</w:t>
            </w:r>
          </w:p>
        </w:tc>
        <w:tc>
          <w:tcPr>
            <w:tcW w:type="dxa" w:w="8277"/>
            <w:vAlign w:val="center"/>
          </w:tcPr>
          <w:p>
            <w:pPr>
              <w:spacing w:after="0" w:line="288" w:lineRule="auto"/>
            </w:pPr>
            <w:r/>
            <w:r>
              <w:rPr>
                <w:rFonts w:ascii="游明朝" w:hAnsi="游明朝" w:eastAsia="游明朝"/>
                <w:b w:val="0"/>
                <w:color w:val="23301F"/>
                <w:sz w:val="21"/>
              </w:rPr>
              <w:t>一方、どんな出来事にも無理に良い意味を見つければよいとは思わない。理不尽なことや人を傷つける言葉まで、前向きに受け取る必要はない。大切なのは、自分の悔しさを否定せず、そのうえで「次に生かせることは何か」と考えることだ。</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結論</w:t>
            </w:r>
          </w:p>
          <w:p>
            <w:pPr>
              <w:spacing w:after="0" w:line="288" w:lineRule="auto"/>
            </w:pPr>
            <w:r>
              <w:rPr>
                <w:rFonts w:ascii="游ゴシック" w:hAnsi="游ゴシック" w:eastAsia="游ゴシック"/>
                <w:b/>
                <w:color w:val="2C5F2D"/>
                <w:sz w:val="19"/>
              </w:rPr>
              <w:t>79字</w:t>
            </w:r>
          </w:p>
        </w:tc>
        <w:tc>
          <w:tcPr>
            <w:tcW w:type="dxa" w:w="8277"/>
            <w:vAlign w:val="center"/>
          </w:tcPr>
          <w:p>
            <w:pPr>
              <w:spacing w:after="0" w:line="288" w:lineRule="auto"/>
            </w:pPr>
            <w:r/>
            <w:r>
              <w:rPr>
                <w:rFonts w:ascii="游明朝" w:hAnsi="游明朝" w:eastAsia="游明朝"/>
                <w:b w:val="0"/>
                <w:color w:val="23301F"/>
                <w:sz w:val="21"/>
              </w:rPr>
              <w:t>物事の意味は初めから一つに決まっているのではない。大学では、異なる文化や価値観にふれる中で、最初の印象で決めつけず、違う見方にも耳を傾ける姿勢を身につけたい。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アドミッションポリシーとのつながり</w:t>
      </w:r>
    </w:p>
    <w:p>
      <w:pPr>
        <w:spacing w:after="40" w:before="0" w:line="300" w:lineRule="auto"/>
        <w:ind w:left="227" w:hanging="227"/>
      </w:pPr>
      <w:r>
        <w:rPr>
          <w:rFonts w:ascii="游ゴシック" w:hAnsi="游ゴシック" w:eastAsia="游ゴシック"/>
          <w:b/>
          <w:color w:val="23301F"/>
          <w:sz w:val="21"/>
        </w:rPr>
        <w:t>・</w:t>
      </w:r>
      <w:r>
        <w:rPr>
          <w:rFonts w:ascii="游ゴシック" w:hAnsi="游ゴシック" w:eastAsia="游ゴシック"/>
          <w:b w:val="0"/>
          <w:color w:val="23301F"/>
          <w:sz w:val="21"/>
        </w:rPr>
        <w:t>21世紀アジア学部：世界で活躍することを目指して、自らを向上させようとする強い意志を持つ学生を受け入れる</w:t>
      </w:r>
    </w:p>
    <w:p>
      <w:pPr>
        <w:spacing w:after="40" w:before="0" w:line="300" w:lineRule="auto"/>
        <w:ind w:left="227" w:hanging="227"/>
      </w:pPr>
      <w:r>
        <w:rPr>
          <w:rFonts w:ascii="游ゴシック" w:hAnsi="游ゴシック" w:eastAsia="游ゴシック"/>
          <w:b/>
          <w:color w:val="23301F"/>
          <w:sz w:val="21"/>
        </w:rPr>
        <w:t>・</w:t>
      </w:r>
      <w:r>
        <w:rPr>
          <w:rFonts w:ascii="游ゴシック" w:hAnsi="游ゴシック" w:eastAsia="游ゴシック"/>
          <w:b w:val="0"/>
          <w:color w:val="23301F"/>
          <w:sz w:val="21"/>
        </w:rPr>
        <w:t>大学全体：建学の精神・教育理念に共感し、人のために尽くせる人材になろうとする意欲を持つ学生</w:t>
      </w:r>
    </w:p>
    <w:p>
      <w:pPr>
        <w:spacing w:after="40" w:before="40" w:line="300" w:lineRule="auto"/>
      </w:pPr>
      <w:r>
        <w:rPr>
          <w:rFonts w:ascii="游ゴシック" w:hAnsi="游ゴシック" w:eastAsia="游ゴシック"/>
          <w:b w:val="0"/>
          <w:color w:val="23301F"/>
          <w:sz w:val="21"/>
        </w:rPr>
        <w:t>「最初の印象で決めつけず、違う見方に耳を傾けたい」という考えは、アジアの多様な文化や価値観を学ぶ21世紀アジア学部と相性が良い。結論でそれを大学での学びと結びつければ、「自らを向上させようとする強い意志」が伝わる。</w:t>
      </w:r>
    </w:p>
    <w:p>
      <w:pPr>
        <w:spacing w:after="80" w:before="0" w:line="300" w:lineRule="auto"/>
      </w:pPr>
      <w:r>
        <w:rPr>
          <w:rFonts w:ascii="游ゴシック" w:hAnsi="游ゴシック" w:eastAsia="游ゴシック"/>
          <w:b w:val="0"/>
          <w:color w:val="5B6B54"/>
          <w:sz w:val="16"/>
        </w:rPr>
        <w:t>出典：https://www.kokushikan.ac.jp/admission/undergraduate/guidebook/docs/admission_guidebook_2026.pdf</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次回の課題</w:t>
      </w:r>
    </w:p>
    <w:p>
      <w:pPr>
        <w:spacing w:after="40" w:before="0" w:line="300" w:lineRule="auto"/>
      </w:pPr>
      <w:r>
        <w:rPr>
          <w:rFonts w:ascii="游ゴシック" w:hAnsi="游ゴシック" w:eastAsia="游ゴシック"/>
          <w:b/>
          <w:color w:val="D9782D"/>
          <w:sz w:val="21"/>
        </w:rPr>
        <w:t>1．</w:t>
      </w:r>
      <w:r>
        <w:rPr>
          <w:rFonts w:ascii="游ゴシック" w:hAnsi="游ゴシック" w:eastAsia="游ゴシック"/>
          <w:b w:val="0"/>
          <w:color w:val="23301F"/>
          <w:sz w:val="21"/>
        </w:rPr>
        <w:t>書き始める前に、答案用紙の余白に「筆者は〜と述べている。」を書いてから本文に入る（毎回必ず）</w:t>
      </w:r>
    </w:p>
    <w:p>
      <w:pPr>
        <w:spacing w:after="40" w:before="0" w:line="300" w:lineRule="auto"/>
      </w:pPr>
      <w:r>
        <w:rPr>
          <w:rFonts w:ascii="游ゴシック" w:hAnsi="游ゴシック" w:eastAsia="游ゴシック"/>
          <w:b/>
          <w:color w:val="D9782D"/>
          <w:sz w:val="21"/>
        </w:rPr>
        <w:t>2．</w:t>
      </w:r>
      <w:r>
        <w:rPr>
          <w:rFonts w:ascii="游ゴシック" w:hAnsi="游ゴシック" w:eastAsia="游ゴシック"/>
          <w:b w:val="0"/>
          <w:color w:val="23301F"/>
          <w:sz w:val="21"/>
        </w:rPr>
        <w:t>体験の最後は、課題文のキーワード（今回は「化ける」）を使って結ぶ</w:t>
      </w:r>
    </w:p>
    <w:p>
      <w:pPr>
        <w:spacing w:after="40" w:before="0" w:line="300" w:lineRule="auto"/>
      </w:pPr>
      <w:r>
        <w:rPr>
          <w:rFonts w:ascii="游ゴシック" w:hAnsi="游ゴシック" w:eastAsia="游ゴシック"/>
          <w:b/>
          <w:color w:val="D9782D"/>
          <w:sz w:val="21"/>
        </w:rPr>
        <w:t>3．</w:t>
      </w:r>
      <w:r>
        <w:rPr>
          <w:rFonts w:ascii="游ゴシック" w:hAnsi="游ゴシック" w:eastAsia="游ゴシック"/>
          <w:b w:val="0"/>
          <w:color w:val="23301F"/>
          <w:sz w:val="21"/>
        </w:rPr>
        <w:t>結論の最後の一文は「大学では〜」で21世紀アジア学部の学びにつなげる</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color w:val="5B6B54"/>
        <w:sz w:val="16"/>
      </w:rPr>
      <w:t>小論文添削（ショー）</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