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177F" w14:textId="77777777" w:rsidR="007A704B" w:rsidRDefault="00000000">
      <w:pPr>
        <w:spacing w:after="40"/>
      </w:pPr>
      <w:r>
        <w:rPr>
          <w:rFonts w:ascii="Trebuchet MS" w:eastAsia="Trebuchet MS" w:hAnsi="Trebuchet MS" w:cs="Trebuchet MS"/>
          <w:b/>
          <w:bCs/>
          <w:color w:val="0F2044"/>
          <w:sz w:val="52"/>
          <w:szCs w:val="52"/>
        </w:rPr>
        <w:t>PLAUSIBLEBA</w:t>
      </w:r>
    </w:p>
    <w:p w14:paraId="33C8618B" w14:textId="72055408" w:rsidR="007A704B" w:rsidRDefault="00364E15">
      <w:pPr>
        <w:spacing w:after="80"/>
      </w:pPr>
      <w:r>
        <w:rPr>
          <w:rFonts w:ascii="Trebuchet MS" w:eastAsia="Trebuchet MS" w:hAnsi="Trebuchet MS" w:cs="Trebuchet MS"/>
          <w:b/>
          <w:bCs/>
          <w:color w:val="2BBCD4"/>
          <w:sz w:val="36"/>
          <w:szCs w:val="36"/>
        </w:rPr>
        <w:t>Open-Source Strategy</w:t>
      </w:r>
    </w:p>
    <w:p w14:paraId="2952D562" w14:textId="77777777" w:rsidR="007A704B" w:rsidRDefault="00000000">
      <w:pPr>
        <w:spacing w:after="60"/>
      </w:pPr>
      <w:r>
        <w:rPr>
          <w:i/>
          <w:iCs/>
          <w:color w:val="595959"/>
          <w:sz w:val="24"/>
          <w:szCs w:val="24"/>
        </w:rPr>
        <w:t>A platform strategy for the agentic enterprise, governed by the practice communities that understand it best</w:t>
      </w:r>
    </w:p>
    <w:p w14:paraId="15D75494" w14:textId="77777777" w:rsidR="00364E15" w:rsidRDefault="00364E15">
      <w:pPr>
        <w:spacing w:after="60"/>
        <w:rPr>
          <w:color w:val="595959"/>
          <w:sz w:val="20"/>
          <w:szCs w:val="20"/>
        </w:rPr>
      </w:pPr>
    </w:p>
    <w:p w14:paraId="69D0D9CE" w14:textId="77370C14" w:rsidR="007A704B" w:rsidRDefault="00000000">
      <w:pPr>
        <w:spacing w:after="60"/>
      </w:pPr>
      <w:r>
        <w:rPr>
          <w:color w:val="595959"/>
          <w:sz w:val="20"/>
          <w:szCs w:val="20"/>
        </w:rPr>
        <w:t>Dr Terry Roach  |  UTS Research Fellow  |  IIBA Chairperson  |  May 2026 (v2.1, post DEC-122 amendments)  |  DRAFT IN CONFIDENCE</w:t>
      </w:r>
    </w:p>
    <w:p w14:paraId="0C409F70" w14:textId="77777777" w:rsidR="007A704B" w:rsidRDefault="007A704B">
      <w:pPr>
        <w:pBdr>
          <w:bottom w:val="single" w:sz="14" w:space="1" w:color="0F2044"/>
        </w:pBdr>
        <w:spacing w:after="160"/>
      </w:pPr>
    </w:p>
    <w:p w14:paraId="263138DF" w14:textId="77777777" w:rsidR="007A704B" w:rsidRDefault="007A704B">
      <w:pPr>
        <w:spacing w:before="160" w:after="80"/>
      </w:pPr>
    </w:p>
    <w:p w14:paraId="495F8ACB" w14:textId="77777777" w:rsidR="007A704B" w:rsidRDefault="00000000">
      <w:pPr>
        <w:pStyle w:val="Heading1"/>
      </w:pPr>
      <w:r>
        <w:t>1. Purpose and Intent</w:t>
      </w:r>
    </w:p>
    <w:p w14:paraId="715C6808" w14:textId="2D81792A" w:rsidR="007A704B" w:rsidRDefault="00000000">
      <w:pPr>
        <w:spacing w:before="80" w:after="80"/>
        <w:jc w:val="both"/>
      </w:pPr>
      <w:r>
        <w:rPr>
          <w:color w:val="000000"/>
        </w:rPr>
        <w:t>This document sets out the open-source strategy for PlausibleBA as the delivery platform for the Orchestrating the Agentic Enterprise initiative. It describes the platform architecture, the governance model, the revenue structure, and the relationship between the open-source community asset and the proprietary commercial layers that sit above it.</w:t>
      </w:r>
    </w:p>
    <w:p w14:paraId="010FF664" w14:textId="77777777" w:rsidR="007A704B" w:rsidRDefault="007A704B">
      <w:pPr>
        <w:spacing w:before="80" w:after="80"/>
      </w:pPr>
    </w:p>
    <w:p w14:paraId="5C6C1AFD" w14:textId="77777777" w:rsidR="007A704B" w:rsidRDefault="00000000">
      <w:pPr>
        <w:spacing w:before="80" w:after="80"/>
        <w:jc w:val="both"/>
      </w:pPr>
      <w:r>
        <w:rPr>
          <w:color w:val="000000"/>
        </w:rPr>
        <w:t>The strategy is grounded in three commitments made by the originating architect and the sponsoring associations.</w:t>
      </w:r>
    </w:p>
    <w:p w14:paraId="3A5452C0" w14:textId="77777777" w:rsidR="007A704B" w:rsidRDefault="007A704B">
      <w:pPr>
        <w:spacing w:before="60" w:after="40"/>
      </w:pPr>
    </w:p>
    <w:p w14:paraId="4FF751D6" w14:textId="77777777" w:rsidR="007A704B" w:rsidRDefault="00000000">
      <w:pPr>
        <w:pStyle w:val="ListParagraph"/>
        <w:numPr>
          <w:ilvl w:val="0"/>
          <w:numId w:val="2"/>
        </w:numPr>
        <w:spacing w:before="60" w:after="60"/>
      </w:pPr>
      <w:r>
        <w:rPr>
          <w:color w:val="000000"/>
        </w:rPr>
        <w:t>Organisations should be able to embrace the platform, actively own it within their communities, and evolve it to serve their specific contexts.</w:t>
      </w:r>
    </w:p>
    <w:p w14:paraId="5E0B6086" w14:textId="77777777" w:rsidR="007A704B" w:rsidRDefault="00000000">
      <w:pPr>
        <w:pStyle w:val="ListParagraph"/>
        <w:numPr>
          <w:ilvl w:val="0"/>
          <w:numId w:val="2"/>
        </w:numPr>
        <w:spacing w:before="60" w:after="60"/>
      </w:pPr>
      <w:r>
        <w:rPr>
          <w:color w:val="000000"/>
        </w:rPr>
        <w:t>The platform should serve as a delivery mechanism for association-proprietary skills, knowledge, digital IP, templates, use cases, and industry content.</w:t>
      </w:r>
    </w:p>
    <w:p w14:paraId="7582D017" w14:textId="77777777" w:rsidR="007A704B" w:rsidRDefault="00000000">
      <w:pPr>
        <w:pStyle w:val="ListParagraph"/>
        <w:numPr>
          <w:ilvl w:val="0"/>
          <w:numId w:val="2"/>
        </w:numPr>
        <w:spacing w:before="60" w:after="60"/>
      </w:pPr>
      <w:r>
        <w:rPr>
          <w:color w:val="000000"/>
        </w:rPr>
        <w:t>The associations should have a revenue-generating asset that is distributed through their members to the ultimate customer -- the organisations that benefit from the whole stack.</w:t>
      </w:r>
    </w:p>
    <w:p w14:paraId="3675F346" w14:textId="77777777" w:rsidR="007A704B" w:rsidRDefault="007A704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35CE80EC" w14:textId="77777777">
        <w:tblPrEx>
          <w:tblCellMar>
            <w:top w:w="0" w:type="dxa"/>
            <w:bottom w:w="0" w:type="dxa"/>
          </w:tblCellMar>
        </w:tblPrEx>
        <w:tc>
          <w:tcPr>
            <w:tcW w:w="9360" w:type="dxa"/>
            <w:tcBorders>
              <w:top w:val="single" w:sz="6" w:space="0" w:color="2BBCD4"/>
              <w:left w:val="none" w:sz="0" w:space="0" w:color="FFFFFF"/>
              <w:bottom w:val="none" w:sz="0" w:space="0" w:color="FFFFFF"/>
              <w:right w:val="none" w:sz="0" w:space="0" w:color="FFFFFF"/>
            </w:tcBorders>
            <w:shd w:val="clear" w:color="auto" w:fill="E8EEF5"/>
            <w:tcMar>
              <w:top w:w="120" w:type="dxa"/>
              <w:left w:w="160" w:type="dxa"/>
              <w:bottom w:w="120" w:type="dxa"/>
              <w:right w:w="160" w:type="dxa"/>
            </w:tcMar>
          </w:tcPr>
          <w:p w14:paraId="66029414" w14:textId="77777777" w:rsidR="007A704B" w:rsidRDefault="00000000">
            <w:pPr>
              <w:spacing w:after="60"/>
            </w:pPr>
            <w:r>
              <w:rPr>
                <w:rFonts w:ascii="Trebuchet MS" w:eastAsia="Trebuchet MS" w:hAnsi="Trebuchet MS" w:cs="Trebuchet MS"/>
                <w:b/>
                <w:bCs/>
                <w:color w:val="0F2044"/>
                <w:sz w:val="20"/>
                <w:szCs w:val="20"/>
              </w:rPr>
              <w:t>The core proposition</w:t>
            </w:r>
          </w:p>
          <w:p w14:paraId="0BF7A054" w14:textId="63114B75" w:rsidR="007A704B" w:rsidRDefault="00000000">
            <w:pPr>
              <w:jc w:val="both"/>
            </w:pPr>
            <w:r>
              <w:rPr>
                <w:color w:val="000000"/>
                <w:sz w:val="21"/>
                <w:szCs w:val="21"/>
              </w:rPr>
              <w:t>PlausibleBA is not a software product. It is a living operating model platform -- the infrastructure through which organisations build, maintain, and evolve a formal representation of what they do, why they do it, and how they are authorised to do it in an agentic enterprise. The associations are the content and certification layer that makes that representation valuable. The PlausibleBA Foundation provides the formal intellectual foundation and the proprietary tooling that extends the platform for enterprise use.</w:t>
            </w:r>
          </w:p>
        </w:tc>
      </w:tr>
    </w:tbl>
    <w:p w14:paraId="4E349F5F" w14:textId="77777777" w:rsidR="007A704B" w:rsidRDefault="007A704B">
      <w:pPr>
        <w:spacing w:before="160" w:after="80"/>
      </w:pPr>
    </w:p>
    <w:p w14:paraId="53D2DDD8" w14:textId="46A01B04" w:rsidR="007A704B" w:rsidRDefault="00000000">
      <w:pPr>
        <w:pStyle w:val="Heading1"/>
      </w:pPr>
      <w:r>
        <w:t>2. Why PlausibleBA as the Open-Source Vehicle</w:t>
      </w:r>
    </w:p>
    <w:p w14:paraId="5B959B9B" w14:textId="77777777" w:rsidR="007A704B" w:rsidRDefault="00000000">
      <w:pPr>
        <w:spacing w:before="80" w:after="80"/>
        <w:jc w:val="both"/>
      </w:pPr>
      <w:r>
        <w:rPr>
          <w:color w:val="000000"/>
        </w:rPr>
        <w:t>PlausibleBA was established as a free, BIZBOK-grounded business analysis toolkit, hosted at plausibleba.com, with strong early practitioner adoption. The brand carries the intellectual tone that both IIBA and the Guild have responded positively to: plausible models, just-enough architecture, practitioner-grounded rather than consultant-heavy.</w:t>
      </w:r>
    </w:p>
    <w:p w14:paraId="157F77FB" w14:textId="77777777" w:rsidR="007A704B" w:rsidRDefault="007A704B">
      <w:pPr>
        <w:spacing w:before="80" w:after="80"/>
      </w:pPr>
    </w:p>
    <w:p w14:paraId="562A9686" w14:textId="488D4741" w:rsidR="007A704B" w:rsidRDefault="00000000">
      <w:pPr>
        <w:spacing w:before="80" w:after="80"/>
        <w:jc w:val="both"/>
      </w:pPr>
      <w:r>
        <w:rPr>
          <w:color w:val="000000"/>
        </w:rPr>
        <w:t>Making PlausibleBA the open-source community platform achieves several things simultaneously.</w:t>
      </w:r>
    </w:p>
    <w:p w14:paraId="3ADD7151" w14:textId="77777777" w:rsidR="007A704B" w:rsidRDefault="007A704B">
      <w:pPr>
        <w:spacing w:before="60" w:after="40"/>
      </w:pPr>
    </w:p>
    <w:p w14:paraId="5C50F3B6" w14:textId="77777777" w:rsidR="007A704B" w:rsidRDefault="00000000">
      <w:pPr>
        <w:pStyle w:val="ListParagraph"/>
        <w:numPr>
          <w:ilvl w:val="0"/>
          <w:numId w:val="2"/>
        </w:numPr>
        <w:spacing w:before="60" w:after="60"/>
      </w:pPr>
      <w:r>
        <w:rPr>
          <w:color w:val="000000"/>
        </w:rPr>
        <w:t>It gives the associations a brand they can rally around that does not feel like association bureaucracy. It feels like a practitioner movement, which is what drives adoption at scale.</w:t>
      </w:r>
    </w:p>
    <w:p w14:paraId="28A26B4E" w14:textId="2988B653" w:rsidR="007A704B" w:rsidRDefault="00000000">
      <w:pPr>
        <w:pStyle w:val="ListParagraph"/>
        <w:numPr>
          <w:ilvl w:val="0"/>
          <w:numId w:val="2"/>
        </w:numPr>
        <w:spacing w:before="60" w:after="60"/>
      </w:pPr>
      <w:r>
        <w:rPr>
          <w:color w:val="000000"/>
        </w:rPr>
        <w:t>It separates the community platform from the originating architect's commercial applications clearly. PlausibleBA is the open platform. The proprietary tooling sits above it.</w:t>
      </w:r>
    </w:p>
    <w:p w14:paraId="79FB4F2C" w14:textId="77777777" w:rsidR="007A704B" w:rsidRDefault="00000000">
      <w:pPr>
        <w:pStyle w:val="ListParagraph"/>
        <w:numPr>
          <w:ilvl w:val="0"/>
          <w:numId w:val="2"/>
        </w:numPr>
        <w:spacing w:before="60" w:after="60"/>
      </w:pPr>
      <w:r>
        <w:rPr>
          <w:color w:val="000000"/>
        </w:rPr>
        <w:t>It connects the research programme to a living deployment vehicle. The BABOK and BIZBOK skills produced by the research do not exist only as documents -- they are embedded in a working platform that practitioners use.</w:t>
      </w:r>
    </w:p>
    <w:p w14:paraId="391941E5" w14:textId="2CC8C2D8" w:rsidR="007A704B" w:rsidRDefault="00000000">
      <w:pPr>
        <w:pStyle w:val="ListParagraph"/>
        <w:numPr>
          <w:ilvl w:val="0"/>
          <w:numId w:val="2"/>
        </w:numPr>
        <w:spacing w:before="60" w:after="60"/>
      </w:pPr>
      <w:r>
        <w:rPr>
          <w:color w:val="000000"/>
        </w:rPr>
        <w:t>It gives the Anthropic partner story a distinctive shape. An open-source agentic enterprise platform, built on Claude, managed by a non-profit foundation, governed by the standards bodies for BA and BizArch, is a category-defining position that no other Anthropic partner can occupy.</w:t>
      </w:r>
    </w:p>
    <w:p w14:paraId="1901D239" w14:textId="77777777" w:rsidR="007A704B" w:rsidRDefault="007A704B">
      <w:pPr>
        <w:spacing w:before="160" w:after="80"/>
      </w:pPr>
    </w:p>
    <w:p w14:paraId="75EA9AFD" w14:textId="77777777" w:rsidR="007A704B" w:rsidRDefault="00000000">
      <w:pPr>
        <w:pStyle w:val="Heading1"/>
      </w:pPr>
      <w:r>
        <w:t>3. The Platform Architecture: A Four-Layer Stack</w:t>
      </w:r>
    </w:p>
    <w:p w14:paraId="4448C449" w14:textId="77777777" w:rsidR="007A704B" w:rsidRDefault="00000000">
      <w:pPr>
        <w:spacing w:before="80" w:after="80"/>
        <w:jc w:val="both"/>
      </w:pPr>
      <w:r>
        <w:rPr>
          <w:color w:val="000000"/>
        </w:rPr>
        <w:t>The platform is structured in four layers, each with distinct ownership, licensing, and revenue characteristics. The layers are cumulative -- each builds on the one below it, and the value proposition to the ultimate customer is the full stack.</w:t>
      </w:r>
    </w:p>
    <w:p w14:paraId="369EFF69" w14:textId="77777777" w:rsidR="007A704B" w:rsidRDefault="007A704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960"/>
      </w:tblGrid>
      <w:tr w:rsidR="007A704B" w14:paraId="6578A8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0CB91F49" w14:textId="77777777" w:rsidR="007A704B" w:rsidRDefault="00000000">
            <w:r>
              <w:rPr>
                <w:b/>
                <w:bCs/>
                <w:color w:val="FFFFFF"/>
                <w:sz w:val="18"/>
                <w:szCs w:val="18"/>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34F1F994" w14:textId="77777777" w:rsidR="007A704B" w:rsidRDefault="00000000">
            <w:r>
              <w:rPr>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4200763C" w14:textId="77777777" w:rsidR="007A704B" w:rsidRDefault="00000000">
            <w:r>
              <w:rPr>
                <w:b/>
                <w:bCs/>
                <w:color w:val="FFFFFF"/>
                <w:sz w:val="18"/>
                <w:szCs w:val="18"/>
              </w:rPr>
              <w:t>Ownership</w:t>
            </w:r>
          </w:p>
        </w:tc>
        <w:tc>
          <w:tcPr>
            <w:tcW w:w="296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26C4C2FA" w14:textId="77777777" w:rsidR="007A704B" w:rsidRDefault="00000000">
            <w:r>
              <w:rPr>
                <w:b/>
                <w:bCs/>
                <w:color w:val="FFFFFF"/>
                <w:sz w:val="18"/>
                <w:szCs w:val="18"/>
              </w:rPr>
              <w:t>Description</w:t>
            </w:r>
          </w:p>
        </w:tc>
      </w:tr>
      <w:tr w:rsidR="007A704B" w14:paraId="1EB9D0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60F32164" w14:textId="77777777" w:rsidR="007A704B" w:rsidRDefault="00000000">
            <w:r>
              <w:rPr>
                <w:b/>
                <w:bCs/>
                <w:color w:val="FFFFFF"/>
                <w:sz w:val="18"/>
                <w:szCs w:val="18"/>
              </w:rPr>
              <w:t>Layer 4</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54E3E0" w14:textId="77777777" w:rsidR="007A704B" w:rsidRDefault="00000000">
            <w:r>
              <w:rPr>
                <w:b/>
                <w:bCs/>
                <w:color w:val="0F2044"/>
                <w:sz w:val="19"/>
                <w:szCs w:val="19"/>
              </w:rPr>
              <w:t>Commercial Plugin Ecosystem</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B6ED74" w14:textId="77DE477D" w:rsidR="007A704B" w:rsidRDefault="00430229">
            <w:r>
              <w:rPr>
                <w:color w:val="595959"/>
                <w:sz w:val="18"/>
                <w:szCs w:val="18"/>
              </w:rPr>
              <w:t>Certified Developers</w:t>
            </w:r>
          </w:p>
        </w:tc>
        <w:tc>
          <w:tcPr>
            <w:tcW w:w="2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C05640" w14:textId="25697156" w:rsidR="007A704B" w:rsidRDefault="00000000">
            <w:r>
              <w:rPr>
                <w:color w:val="000000"/>
                <w:sz w:val="18"/>
                <w:szCs w:val="18"/>
              </w:rPr>
              <w:t xml:space="preserve">Open commercial ecosystem for certified plugins and applications built on the platform. Any developer may build and license a plugin. The Foundation certifies, hosts, and manages the ecosystem, taking a revenue share on commercial plugin sales. </w:t>
            </w:r>
          </w:p>
        </w:tc>
      </w:tr>
      <w:tr w:rsidR="007A704B" w14:paraId="376F07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5EA8"/>
            <w:tcMar>
              <w:top w:w="80" w:type="dxa"/>
              <w:left w:w="100" w:type="dxa"/>
              <w:bottom w:w="80" w:type="dxa"/>
              <w:right w:w="100" w:type="dxa"/>
            </w:tcMar>
          </w:tcPr>
          <w:p w14:paraId="59869D17" w14:textId="77777777" w:rsidR="007A704B" w:rsidRDefault="00000000">
            <w:r>
              <w:rPr>
                <w:b/>
                <w:bCs/>
                <w:color w:val="FFFFFF"/>
                <w:sz w:val="18"/>
                <w:szCs w:val="18"/>
              </w:rPr>
              <w:t>Layer 3</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454FF4" w14:textId="77777777" w:rsidR="007A704B" w:rsidRDefault="00000000">
            <w:r>
              <w:rPr>
                <w:b/>
                <w:bCs/>
                <w:color w:val="0F2044"/>
                <w:sz w:val="19"/>
                <w:szCs w:val="19"/>
              </w:rPr>
              <w:t>Hosted Platform License</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A18F9E4" w14:textId="43E4F27E" w:rsidR="007A704B" w:rsidRDefault="00000000">
            <w:r>
              <w:rPr>
                <w:color w:val="595959"/>
                <w:sz w:val="18"/>
                <w:szCs w:val="18"/>
              </w:rPr>
              <w:t>Associations + PlausibleBA Foundation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3766CA" w14:textId="4966CB45" w:rsidR="007A704B" w:rsidRDefault="00000000">
            <w:r>
              <w:rPr>
                <w:color w:val="000000"/>
                <w:sz w:val="18"/>
                <w:szCs w:val="18"/>
              </w:rPr>
              <w:t>Managed, certified, production-grade deployment of the PlausibleBA platform. Organisations pay a platform license to host their living operating model. Licensing and revenue collection managed by PlausibleBA Foundation; platform royalty flows to associations.</w:t>
            </w:r>
          </w:p>
        </w:tc>
      </w:tr>
      <w:tr w:rsidR="007A704B" w14:paraId="3882B3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BBCD4"/>
            <w:tcMar>
              <w:top w:w="80" w:type="dxa"/>
              <w:left w:w="100" w:type="dxa"/>
              <w:bottom w:w="80" w:type="dxa"/>
              <w:right w:w="100" w:type="dxa"/>
            </w:tcMar>
          </w:tcPr>
          <w:p w14:paraId="397B16B0" w14:textId="77777777" w:rsidR="007A704B" w:rsidRDefault="00000000">
            <w:r>
              <w:rPr>
                <w:b/>
                <w:bCs/>
                <w:color w:val="FFFFFF"/>
                <w:sz w:val="18"/>
                <w:szCs w:val="18"/>
              </w:rPr>
              <w:t>Layer 2</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2240D8" w14:textId="77777777" w:rsidR="007A704B" w:rsidRDefault="00000000">
            <w:r>
              <w:rPr>
                <w:b/>
                <w:bCs/>
                <w:color w:val="0F2044"/>
                <w:sz w:val="19"/>
                <w:szCs w:val="19"/>
              </w:rPr>
              <w:t>Association Content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E6F51" w14:textId="77777777" w:rsidR="007A704B" w:rsidRDefault="00000000">
            <w:r>
              <w:rPr>
                <w:color w:val="595959"/>
                <w:sz w:val="18"/>
                <w:szCs w:val="18"/>
              </w:rPr>
              <w:t>IIBA + Guild</w:t>
            </w:r>
          </w:p>
        </w:tc>
        <w:tc>
          <w:tcPr>
            <w:tcW w:w="2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A14FE4" w14:textId="75BF1D38" w:rsidR="007A704B" w:rsidRDefault="00000000">
            <w:r>
              <w:rPr>
                <w:color w:val="000000"/>
                <w:sz w:val="18"/>
                <w:szCs w:val="18"/>
              </w:rPr>
              <w:t>BABOK-grounded skills &amp; tools, BIZBOK skills &amp; reference models, certified templates, validated use cases, industry-specific content packs. Subscription revenue to associations. This is the primary association IP asset.</w:t>
            </w:r>
          </w:p>
        </w:tc>
      </w:tr>
      <w:tr w:rsidR="007A704B" w14:paraId="65B75E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6B7280"/>
            <w:tcMar>
              <w:top w:w="80" w:type="dxa"/>
              <w:left w:w="100" w:type="dxa"/>
              <w:bottom w:w="80" w:type="dxa"/>
              <w:right w:w="100" w:type="dxa"/>
            </w:tcMar>
          </w:tcPr>
          <w:p w14:paraId="091AB4D1" w14:textId="77777777" w:rsidR="007A704B" w:rsidRDefault="00000000">
            <w:r>
              <w:rPr>
                <w:b/>
                <w:bCs/>
                <w:color w:val="FFFFFF"/>
                <w:sz w:val="18"/>
                <w:szCs w:val="18"/>
              </w:rPr>
              <w:lastRenderedPageBreak/>
              <w:t>Layer 1</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975BEA" w14:textId="3ADC26FB" w:rsidR="007A704B" w:rsidRDefault="00000000">
            <w:r>
              <w:rPr>
                <w:b/>
                <w:bCs/>
                <w:color w:val="0F2044"/>
                <w:sz w:val="19"/>
                <w:szCs w:val="19"/>
              </w:rPr>
              <w:t>PlausibleBA Open-Source Platform</w:t>
            </w:r>
          </w:p>
        </w:tc>
        <w:tc>
          <w:tcPr>
            <w:tcW w:w="22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ADFD5F" w14:textId="77777777" w:rsidR="007A704B" w:rsidRDefault="00000000">
            <w:r>
              <w:rPr>
                <w:color w:val="595959"/>
                <w:sz w:val="18"/>
                <w:szCs w:val="18"/>
              </w:rPr>
              <w:t>PlausibleBA Foundation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DE56E" w14:textId="77777777" w:rsidR="007A704B" w:rsidRDefault="00000000">
            <w:r>
              <w:rPr>
                <w:color w:val="000000"/>
                <w:sz w:val="18"/>
                <w:szCs w:val="18"/>
              </w:rPr>
              <w:t>Free, community-owned, forkable. Licensed under a source-available community license. Co-governed by IIBA, Guild, and UTS through the PlausibleBA Foundation technical steering committee.</w:t>
            </w:r>
          </w:p>
        </w:tc>
      </w:tr>
    </w:tbl>
    <w:p w14:paraId="46A25E5E" w14:textId="77777777" w:rsidR="007A704B" w:rsidRDefault="007A704B">
      <w:pPr>
        <w:spacing w:before="120" w:after="80"/>
      </w:pPr>
    </w:p>
    <w:p w14:paraId="5E0B2233" w14:textId="0F5FD21C" w:rsidR="007A704B" w:rsidRDefault="00000000">
      <w:pPr>
        <w:pStyle w:val="Heading2"/>
      </w:pPr>
      <w:r>
        <w:t>3.1 Layer 1: PlausibleBA Open-Source Platform</w:t>
      </w:r>
    </w:p>
    <w:p w14:paraId="6C2BE780" w14:textId="4433E2BC" w:rsidR="007A704B" w:rsidRDefault="00000000">
      <w:pPr>
        <w:spacing w:before="80" w:after="80"/>
        <w:jc w:val="both"/>
      </w:pPr>
      <w:r>
        <w:rPr>
          <w:color w:val="000000"/>
        </w:rPr>
        <w:t>The PlausibleBA platform core is released under a source-available community license. The distinction from a pure open-source license -- such as Apache 2.0 -- is important: a pure open-source license would allow any organisation to self-host and deploy without any commercial obligation, which would undermine the platform license revenue in Layer 3.</w:t>
      </w:r>
    </w:p>
    <w:p w14:paraId="6B5D05B2" w14:textId="77777777" w:rsidR="007A704B" w:rsidRDefault="007A704B">
      <w:pPr>
        <w:spacing w:before="80" w:after="80"/>
      </w:pPr>
    </w:p>
    <w:p w14:paraId="6AB06297" w14:textId="77777777" w:rsidR="007A704B" w:rsidRDefault="00000000">
      <w:pPr>
        <w:spacing w:before="80" w:after="80"/>
        <w:jc w:val="both"/>
      </w:pPr>
      <w:r>
        <w:rPr>
          <w:color w:val="000000"/>
        </w:rPr>
        <w:t>The community license permits free use for individual practitioners, academic institutions, non-commercial community projects, and association members using the platform for professional development. Commercial deployment by organisations -- using the platform to host and operate their production operating model -- requires the platform license in Layer 3.</w:t>
      </w:r>
    </w:p>
    <w:p w14:paraId="0BC32E79" w14:textId="77777777" w:rsidR="007A704B" w:rsidRDefault="007A704B">
      <w:pPr>
        <w:spacing w:before="80" w:after="80"/>
      </w:pPr>
    </w:p>
    <w:p w14:paraId="59DA95D9" w14:textId="605F6595" w:rsidR="007A704B" w:rsidRDefault="00000000">
      <w:pPr>
        <w:spacing w:before="80" w:after="80"/>
        <w:jc w:val="both"/>
      </w:pPr>
      <w:r>
        <w:rPr>
          <w:color w:val="000000"/>
        </w:rPr>
        <w:t>This is the WordPress / WordPress.com model. The software is open, the community can contribute and evolve it freely, and practitioners can use it without cost. Organisations that want the managed, certified, production-grade deployment pay for it through the Foundation channel.</w:t>
      </w:r>
    </w:p>
    <w:p w14:paraId="59DA95DA" w14:textId="605F6596" w:rsidR="007A704B" w:rsidRDefault="00000000">
      <w:pPr>
        <w:spacing w:before="160" w:after="80"/>
        <w:jc w:val="both"/>
      </w:pPr>
      <w:r>
        <w:rPr>
          <w:b/>
          <w:color w:val="000000"/>
        </w:rPr>
        <w:t xml:space="preserve">Layer 1 contracts and surfaces (per VCC DEC-122). </w:t>
      </w:r>
      <w:r>
        <w:rPr>
          <w:color w:val="000000"/>
        </w:rPr>
        <w:t xml:space="preserve">The Layer 1 open-core publishes a CAPSICUM-grounded JSON-LD bundle with a versioned, stably-dereferenceable @context as its canonical </w:t>
      </w:r>
      <w:r>
        <w:rPr>
          <w:i/>
          <w:color w:val="000000"/>
        </w:rPr>
        <w:t>machine</w:t>
      </w:r>
      <w:r>
        <w:rPr>
          <w:color w:val="000000"/>
        </w:rPr>
        <w:t xml:space="preserve"> contract. JSON-LD is what plugin developers and Layer-3 hosted platforms read and write; it is what Layer-2 content packs validate against. JSON-LD is </w:t>
      </w:r>
      <w:r>
        <w:rPr>
          <w:i/>
          <w:color w:val="000000"/>
        </w:rPr>
        <w:t>not</w:t>
      </w:r>
      <w:r>
        <w:rPr>
          <w:color w:val="000000"/>
        </w:rPr>
        <w:t xml:space="preserve"> the practitioner-facing authoring surface. The Foundation commits to a parallel set of practitioner-grade adoption surfaces as Layer 1/2 deliverables: a TypeScript SDK over the canonical model, an OpenAPI façade for service consumers, Excel and Word import templates so association content authors can produce content packs without becoming RDF specialists, a visual authoring environment for practitioner-grade modelling, and plain-language SHACL validation reports that can be acted on by non-technical users. The formal contract is what makes the platform interoperable; the adoption surfaces are what make it adoptable.</w:t>
      </w:r>
    </w:p>
    <w:p w14:paraId="31B38105"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108EBD9D" w14:textId="77777777">
        <w:tblPrEx>
          <w:tblCellMar>
            <w:top w:w="0" w:type="dxa"/>
            <w:bottom w:w="0" w:type="dxa"/>
          </w:tblCellMar>
        </w:tblPrEx>
        <w:tc>
          <w:tcPr>
            <w:tcW w:w="9360" w:type="dxa"/>
            <w:tcBorders>
              <w:top w:val="single" w:sz="6" w:space="0" w:color="2BBCD4"/>
              <w:left w:val="none" w:sz="0" w:space="0" w:color="FFFFFF"/>
              <w:bottom w:val="none" w:sz="0" w:space="0" w:color="FFFFFF"/>
              <w:right w:val="none" w:sz="0" w:space="0" w:color="FFFFFF"/>
            </w:tcBorders>
            <w:shd w:val="clear" w:color="auto" w:fill="E8EEF5"/>
            <w:tcMar>
              <w:top w:w="120" w:type="dxa"/>
              <w:left w:w="160" w:type="dxa"/>
              <w:bottom w:w="120" w:type="dxa"/>
              <w:right w:w="160" w:type="dxa"/>
            </w:tcMar>
          </w:tcPr>
          <w:p w14:paraId="4E6978D4" w14:textId="0856F1AF" w:rsidR="007A704B" w:rsidRDefault="00000000">
            <w:pPr>
              <w:spacing w:after="60"/>
            </w:pPr>
            <w:r>
              <w:rPr>
                <w:rFonts w:ascii="Trebuchet MS" w:eastAsia="Trebuchet MS" w:hAnsi="Trebuchet MS" w:cs="Trebuchet MS"/>
                <w:b/>
                <w:bCs/>
                <w:color w:val="0F2044"/>
                <w:sz w:val="20"/>
                <w:szCs w:val="20"/>
              </w:rPr>
              <w:t>What the open-source community gets</w:t>
            </w:r>
          </w:p>
          <w:p w14:paraId="3F4D38F4" w14:textId="77777777" w:rsidR="007A704B" w:rsidRDefault="00000000">
            <w:pPr>
              <w:jc w:val="both"/>
            </w:pPr>
            <w:r>
              <w:rPr>
                <w:color w:val="000000"/>
                <w:sz w:val="21"/>
                <w:szCs w:val="21"/>
              </w:rPr>
              <w:t>Free access to the platform for personal and professional development use. The ability to contribute to and evolve the platform. Recognition within the practitioner community. Access to community-tier content from the associations. A pathway to the certified content layer through association membership.</w:t>
            </w:r>
          </w:p>
        </w:tc>
      </w:tr>
    </w:tbl>
    <w:p w14:paraId="4F0CE2C3" w14:textId="77777777" w:rsidR="007A704B" w:rsidRDefault="007A704B">
      <w:pPr>
        <w:spacing w:before="120" w:after="80"/>
      </w:pPr>
    </w:p>
    <w:p w14:paraId="3C642B8E" w14:textId="77777777" w:rsidR="007A704B" w:rsidRDefault="00000000">
      <w:pPr>
        <w:pStyle w:val="Heading2"/>
      </w:pPr>
      <w:r>
        <w:t>3.2 Layer 2: Association Content Layer</w:t>
      </w:r>
    </w:p>
    <w:p w14:paraId="69E7C2D2" w14:textId="4AED1241" w:rsidR="007A704B" w:rsidRDefault="00000000">
      <w:pPr>
        <w:spacing w:before="80" w:after="80"/>
        <w:jc w:val="both"/>
      </w:pPr>
      <w:r>
        <w:rPr>
          <w:color w:val="000000"/>
        </w:rPr>
        <w:t>The content layer is the primary IP asset of the associations. It is not open-source. It is the curated, validated, certified body of knowledge that transforms the open platform into a governed agentic enterprise instrument.</w:t>
      </w:r>
    </w:p>
    <w:p w14:paraId="7B29E321" w14:textId="77777777" w:rsidR="007A704B" w:rsidRDefault="007A704B">
      <w:pPr>
        <w:spacing w:before="80" w:after="80"/>
      </w:pPr>
    </w:p>
    <w:p w14:paraId="10FB57F6" w14:textId="77777777" w:rsidR="007A704B" w:rsidRDefault="00000000">
      <w:pPr>
        <w:spacing w:before="80" w:after="80"/>
        <w:jc w:val="both"/>
      </w:pPr>
      <w:r>
        <w:rPr>
          <w:color w:val="000000"/>
        </w:rPr>
        <w:t>Content in this layer includes the following categories.</w:t>
      </w:r>
    </w:p>
    <w:p w14:paraId="156A2C4C" w14:textId="77777777" w:rsidR="007A704B" w:rsidRDefault="007A704B">
      <w:pPr>
        <w:spacing w:before="60" w:after="40"/>
      </w:pPr>
    </w:p>
    <w:p w14:paraId="25320E5E" w14:textId="21CCE801" w:rsidR="007A704B" w:rsidRDefault="00000000">
      <w:pPr>
        <w:pStyle w:val="ListParagraph"/>
        <w:numPr>
          <w:ilvl w:val="0"/>
          <w:numId w:val="2"/>
        </w:numPr>
        <w:spacing w:before="60" w:after="60"/>
      </w:pPr>
      <w:r>
        <w:rPr>
          <w:color w:val="000000"/>
        </w:rPr>
        <w:t>BABOK-grounded AI skills with discernment scaffolding, (potentially produced by the research programme) and owned by IIBA</w:t>
      </w:r>
    </w:p>
    <w:p w14:paraId="0C5DECD1" w14:textId="16FF8B93" w:rsidR="007A704B" w:rsidRDefault="00000000">
      <w:pPr>
        <w:pStyle w:val="ListParagraph"/>
        <w:numPr>
          <w:ilvl w:val="0"/>
          <w:numId w:val="2"/>
        </w:numPr>
        <w:spacing w:before="60" w:after="60"/>
      </w:pPr>
      <w:r>
        <w:rPr>
          <w:color w:val="000000"/>
        </w:rPr>
        <w:t>BIZBOK skills and reference models (potentially produced by the research programme), adapted for the agentic enterprise context and owned by the Guild</w:t>
      </w:r>
    </w:p>
    <w:p w14:paraId="0A52B80A" w14:textId="1416111F" w:rsidR="007A704B" w:rsidRDefault="00000000">
      <w:pPr>
        <w:pStyle w:val="ListParagraph"/>
        <w:numPr>
          <w:ilvl w:val="0"/>
          <w:numId w:val="2"/>
        </w:numPr>
        <w:spacing w:before="60" w:after="60"/>
      </w:pPr>
      <w:r>
        <w:rPr>
          <w:color w:val="000000"/>
        </w:rPr>
        <w:t xml:space="preserve">Certified plug-ins from community contributors that extend and enhance the ecosystem with (for example) friction assessments, agentic opportunity identification, entitlements governance etc. </w:t>
      </w:r>
    </w:p>
    <w:p w14:paraId="226B0E42" w14:textId="77777777" w:rsidR="007A704B" w:rsidRDefault="00000000">
      <w:pPr>
        <w:pStyle w:val="ListParagraph"/>
        <w:numPr>
          <w:ilvl w:val="0"/>
          <w:numId w:val="2"/>
        </w:numPr>
        <w:spacing w:before="60" w:after="60"/>
      </w:pPr>
      <w:r>
        <w:rPr>
          <w:color w:val="000000"/>
        </w:rPr>
        <w:lastRenderedPageBreak/>
        <w:t>Validated use cases across industry domains, contributed by association members and certified by the associations</w:t>
      </w:r>
    </w:p>
    <w:p w14:paraId="000EBD6B" w14:textId="77777777" w:rsidR="007A704B" w:rsidRDefault="00000000">
      <w:pPr>
        <w:pStyle w:val="ListParagraph"/>
        <w:numPr>
          <w:ilvl w:val="0"/>
          <w:numId w:val="2"/>
        </w:numPr>
        <w:spacing w:before="60" w:after="60"/>
      </w:pPr>
      <w:r>
        <w:rPr>
          <w:color w:val="000000"/>
        </w:rPr>
        <w:t>Industry-specific content packs developed in partnership with sector communities</w:t>
      </w:r>
    </w:p>
    <w:p w14:paraId="50855144" w14:textId="77777777" w:rsidR="007A704B" w:rsidRDefault="007A704B">
      <w:pPr>
        <w:spacing w:before="80" w:after="80"/>
      </w:pPr>
    </w:p>
    <w:p w14:paraId="258B7BAB" w14:textId="77777777" w:rsidR="007A704B" w:rsidRDefault="00000000">
      <w:pPr>
        <w:spacing w:before="80" w:after="80"/>
        <w:jc w:val="both"/>
      </w:pPr>
      <w:r>
        <w:rPr>
          <w:color w:val="000000"/>
        </w:rPr>
        <w:t>Organisations access this layer through a content subscription, priced and managed by the associations. The subscription is the primary ongoing revenue relationship between the associations and the organisations they serve.</w:t>
      </w:r>
    </w:p>
    <w:p w14:paraId="731407B0" w14:textId="77777777" w:rsidR="007A704B" w:rsidRDefault="007A704B">
      <w:pPr>
        <w:spacing w:before="120" w:after="80"/>
      </w:pPr>
    </w:p>
    <w:p w14:paraId="6277F075" w14:textId="77777777" w:rsidR="007A704B" w:rsidRDefault="00000000">
      <w:pPr>
        <w:pStyle w:val="Heading2"/>
      </w:pPr>
      <w:r>
        <w:t>3.3 Layer 3: Hosted Platform License</w:t>
      </w:r>
    </w:p>
    <w:p w14:paraId="2E50AC92" w14:textId="77777777" w:rsidR="007A704B" w:rsidRDefault="00000000">
      <w:pPr>
        <w:spacing w:before="80" w:after="80"/>
        <w:jc w:val="both"/>
      </w:pPr>
      <w:r>
        <w:rPr>
          <w:color w:val="000000"/>
        </w:rPr>
        <w:t>The hosted platform license is what organisations pay to deploy PlausibleBA as their production operating model platform. It covers the managed, certified, association-endorsed deployment of the platform core, including the integration of the content layer, ongoing support, and the governance assurance that comes with association certification.</w:t>
      </w:r>
    </w:p>
    <w:p w14:paraId="67F91E60" w14:textId="77777777" w:rsidR="007A704B" w:rsidRDefault="007A704B">
      <w:pPr>
        <w:spacing w:before="80" w:after="80"/>
      </w:pPr>
    </w:p>
    <w:p w14:paraId="5B0F31B3" w14:textId="19D99937" w:rsidR="007A704B" w:rsidRDefault="00000000">
      <w:pPr>
        <w:spacing w:before="80" w:after="80"/>
        <w:jc w:val="both"/>
      </w:pPr>
      <w:r>
        <w:rPr>
          <w:color w:val="000000"/>
        </w:rPr>
        <w:t>This is the Operating-Model-as-an-Asset proposition. Organisations are not buying software. They are acquiring a living, maintained, certified representation of how their business operates -- grounded in recognised standards, extensible with their own content, and connected to a professional community that keeps it current.</w:t>
      </w:r>
    </w:p>
    <w:p w14:paraId="70F27E49" w14:textId="77777777" w:rsidR="007A704B" w:rsidRDefault="007A704B">
      <w:pPr>
        <w:spacing w:before="80" w:after="80"/>
      </w:pPr>
    </w:p>
    <w:p w14:paraId="21E3A3B1" w14:textId="071ED9FE" w:rsidR="007A704B" w:rsidRDefault="00000000">
      <w:pPr>
        <w:spacing w:before="80" w:after="80"/>
        <w:jc w:val="both"/>
      </w:pPr>
      <w:r>
        <w:rPr>
          <w:color w:val="000000"/>
        </w:rPr>
        <w:t>The platform license fee is collected by the foundation. A royalty on that fee flows to the associations, established in the founding IP agreement. The royalty rate and structure is a matter for negotiation between the parties, but the principle -- that the associations clip the ticket on platform license revenue -- is a founding condition of the arrangement.</w:t>
      </w:r>
    </w:p>
    <w:p w14:paraId="350B89CE" w14:textId="77777777" w:rsidR="007A704B" w:rsidRDefault="007A704B">
      <w:pPr>
        <w:spacing w:before="120" w:after="80"/>
      </w:pPr>
    </w:p>
    <w:p w14:paraId="16B268C6" w14:textId="77777777" w:rsidR="007A704B" w:rsidRDefault="00000000">
      <w:pPr>
        <w:pStyle w:val="Heading2"/>
      </w:pPr>
      <w:r>
        <w:t>3.4 Layer 4: Commercial Plugin Ecosystem</w:t>
      </w:r>
    </w:p>
    <w:p w14:paraId="556A2B9A" w14:textId="4AC5577D" w:rsidR="007A704B" w:rsidRDefault="00000000">
      <w:pPr>
        <w:spacing w:before="80" w:after="80"/>
        <w:jc w:val="both"/>
      </w:pPr>
      <w:r>
        <w:rPr>
          <w:color w:val="000000"/>
        </w:rPr>
        <w:t>Layer 4 is an open commercial ecosystem. Any developer -- individual practitioners, consulting firms, technology companies, the associations themselves, the foundation or the originating architect -- may build a plugin or application on the PlausibleBA platform and license it commercially through the ecosystem marketplace.</w:t>
      </w:r>
    </w:p>
    <w:p w14:paraId="65178B35" w14:textId="77777777" w:rsidR="007A704B" w:rsidRDefault="007A704B">
      <w:pPr>
        <w:spacing w:before="80" w:after="80"/>
      </w:pPr>
    </w:p>
    <w:p w14:paraId="53446F68" w14:textId="77777777" w:rsidR="007A704B" w:rsidRDefault="00000000">
      <w:pPr>
        <w:spacing w:before="80" w:after="80"/>
        <w:jc w:val="both"/>
      </w:pPr>
      <w:r>
        <w:rPr>
          <w:color w:val="000000"/>
        </w:rPr>
        <w:t>This is the AppExchange or WordPress plugin marketplace model applied to the agentic enterprise practice domain. The platform provides the foundation. The ecosystem provides the specialisation. Organisations that want capabilities beyond the open core and the association content layer browse and subscribe to certified plugins relevant to their industry, use case, or maturity level.</w:t>
      </w:r>
    </w:p>
    <w:p w14:paraId="0372CBFE" w14:textId="77777777" w:rsidR="007A704B" w:rsidRDefault="007A704B">
      <w:pPr>
        <w:spacing w:before="80" w:after="80"/>
      </w:pPr>
    </w:p>
    <w:p w14:paraId="66086F44" w14:textId="77777777" w:rsidR="007A704B" w:rsidRDefault="00000000">
      <w:pPr>
        <w:spacing w:before="80" w:after="80"/>
        <w:jc w:val="both"/>
      </w:pPr>
      <w:r>
        <w:rPr>
          <w:color w:val="000000"/>
        </w:rPr>
        <w:t>The Foundation certifies, hosts, and manages the ecosystem. Certification ensures that plugins meet quality, security, and compatibility standards before they are listed. The Foundation takes a defined revenue share on all commercial plugin sales -- the mechanism by which the Foundation funds its own operations without depending on association subsidy.</w:t>
      </w:r>
    </w:p>
    <w:p w14:paraId="6CA1730B" w14:textId="77777777" w:rsidR="007A704B" w:rsidRDefault="007A704B">
      <w:pPr>
        <w:spacing w:before="80" w:after="80"/>
      </w:pPr>
    </w:p>
    <w:p w14:paraId="08C76A0E" w14:textId="73F0EDE7" w:rsidR="007A704B" w:rsidRDefault="00000000">
      <w:pPr>
        <w:spacing w:before="80" w:after="80"/>
        <w:jc w:val="both"/>
      </w:pPr>
      <w:r>
        <w:rPr>
          <w:color w:val="000000"/>
        </w:rPr>
        <w:lastRenderedPageBreak/>
        <w:t>The originating architect retains ownership of one or more essential proprietary plugins that provide the platform's baseline generative capabilities. These are not open-source. They are the commercial reference implementations that demonstrate what the platform can do at full capability, and they are the primary commercial revenue vehicle for the originating architect. Two components are identified as proprietary reference plugins in the first instance.</w:t>
      </w:r>
    </w:p>
    <w:p w14:paraId="653C54B4" w14:textId="77777777" w:rsidR="007A704B" w:rsidRDefault="007A704B">
      <w:pPr>
        <w:spacing w:before="60" w:after="40"/>
      </w:pPr>
    </w:p>
    <w:p w14:paraId="568A7161" w14:textId="77777777" w:rsidR="007A704B" w:rsidRDefault="00000000">
      <w:pPr>
        <w:pStyle w:val="ListParagraph"/>
        <w:numPr>
          <w:ilvl w:val="0"/>
          <w:numId w:val="2"/>
        </w:numPr>
        <w:spacing w:before="60" w:after="60"/>
      </w:pPr>
      <w:r>
        <w:rPr>
          <w:color w:val="000000"/>
        </w:rPr>
        <w:t>The VCC scaffold engine. The component that generates a populated Value Cognition Canvas scaffold from discovery inputs -- capability maps, value streams, friction assessments. The open platform provides the canvas and the methodology structure. The scaffold engine provides the intelligent generation that makes it genuinely useful rather than a manual template. This is the highest-value generative capability in the stack and the hardest to replicate.</w:t>
      </w:r>
    </w:p>
    <w:p w14:paraId="182C76F9" w14:textId="77777777" w:rsidR="007A704B" w:rsidRDefault="00000000">
      <w:pPr>
        <w:pStyle w:val="ListParagraph"/>
        <w:numPr>
          <w:ilvl w:val="0"/>
          <w:numId w:val="2"/>
        </w:numPr>
        <w:spacing w:before="60" w:after="60"/>
      </w:pPr>
      <w:r>
        <w:rPr>
          <w:color w:val="000000"/>
        </w:rPr>
        <w:t>The entitlements specification engine. The component that generates formal agent authority specifications from practitioner inputs -- scope, authority boundaries, escalation triggers -- grounded in the formal theoretical foundation. This is the most novel capability in the stack and the one most directly grounded in the research programme IP.</w:t>
      </w:r>
    </w:p>
    <w:p w14:paraId="7CDCF509" w14:textId="77777777" w:rsidR="007A704B" w:rsidRDefault="007A704B">
      <w:pPr>
        <w:spacing w:before="80" w:after="80"/>
      </w:pPr>
    </w:p>
    <w:p w14:paraId="43B15E85" w14:textId="7509162D" w:rsidR="007A704B" w:rsidRDefault="00000000">
      <w:pPr>
        <w:spacing w:before="80" w:after="80"/>
        <w:jc w:val="both"/>
      </w:pPr>
      <w:r>
        <w:rPr>
          <w:color w:val="000000"/>
        </w:rPr>
        <w:t>Retaining these as proprietary plugins rather than building a royalty arrangement into the platform license has a significant structural advantage: the commercial relationship is direct between the originating architect and the Foundation, with no relationship to association payment flows, no audit obligation, and no renegotiation risk. The platform makes the market. The proprietary plugins capture the value.</w:t>
      </w:r>
    </w:p>
    <w:p w14:paraId="0683DEB9"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0C5F989D" w14:textId="77777777">
        <w:tblPrEx>
          <w:tblCellMar>
            <w:top w:w="0" w:type="dxa"/>
            <w:bottom w:w="0" w:type="dxa"/>
          </w:tblCellMar>
        </w:tblPrEx>
        <w:tc>
          <w:tcPr>
            <w:tcW w:w="9360" w:type="dxa"/>
            <w:tcBorders>
              <w:top w:val="single" w:sz="6" w:space="0" w:color="2BBCD4"/>
              <w:left w:val="none" w:sz="0" w:space="0" w:color="FFFFFF"/>
              <w:bottom w:val="none" w:sz="0" w:space="0" w:color="FFFFFF"/>
              <w:right w:val="none" w:sz="0" w:space="0" w:color="FFFFFF"/>
            </w:tcBorders>
            <w:shd w:val="clear" w:color="auto" w:fill="E8EEF5"/>
            <w:tcMar>
              <w:top w:w="120" w:type="dxa"/>
              <w:left w:w="160" w:type="dxa"/>
              <w:bottom w:w="120" w:type="dxa"/>
              <w:right w:w="160" w:type="dxa"/>
            </w:tcMar>
          </w:tcPr>
          <w:p w14:paraId="0C0420D9" w14:textId="38E76B82" w:rsidR="007A704B" w:rsidRDefault="00000000">
            <w:pPr>
              <w:spacing w:after="60"/>
            </w:pPr>
            <w:r>
              <w:rPr>
                <w:rFonts w:ascii="Trebuchet MS" w:eastAsia="Trebuchet MS" w:hAnsi="Trebuchet MS" w:cs="Trebuchet MS"/>
                <w:b/>
                <w:bCs/>
                <w:color w:val="0F2044"/>
                <w:sz w:val="20"/>
                <w:szCs w:val="20"/>
              </w:rPr>
              <w:t>What the plugin ecosystem provides</w:t>
            </w:r>
          </w:p>
          <w:p w14:paraId="156CDCCE" w14:textId="77777777" w:rsidR="007A704B" w:rsidRDefault="00000000">
            <w:pPr>
              <w:jc w:val="both"/>
            </w:pPr>
            <w:r>
              <w:rPr>
                <w:color w:val="000000"/>
                <w:sz w:val="21"/>
                <w:szCs w:val="21"/>
              </w:rPr>
              <w:t>Layer 4 is not a single vendor’s proprietary layer. It is a growing, self-reinforcing ecosystem where the value of the platform increases with every new certified plugin. Organisations are not locked into the originating architect’s applications. Developers are not locked out of a commercial opportunity. The Foundation governs quality without controlling content. This is the model that produces durable platform ecosystems — and it is recognisably the model that Apptio used to build a multi-billion-dollar company from an open industry standard (taken private by Vista Equity Partners in 2018 for ~US$1.94B; subsequently acquired by IBM from Vista in 2023 for US$4.6B). See Section 6 for the Apptio reference case.</w:t>
            </w:r>
          </w:p>
        </w:tc>
      </w:tr>
    </w:tbl>
    <w:p w14:paraId="4A6E8757" w14:textId="77777777" w:rsidR="007A704B" w:rsidRDefault="007A704B">
      <w:pPr>
        <w:spacing w:before="160" w:after="80"/>
      </w:pPr>
    </w:p>
    <w:p w14:paraId="0D4AF950" w14:textId="77777777" w:rsidR="007A704B" w:rsidRDefault="00000000">
      <w:pPr>
        <w:pStyle w:val="Heading1"/>
      </w:pPr>
      <w:r>
        <w:t>4. Governance: The PlausibleBA Foundation</w:t>
      </w:r>
    </w:p>
    <w:p w14:paraId="104B2A56" w14:textId="77777777" w:rsidR="007A704B" w:rsidRDefault="00000000">
      <w:pPr>
        <w:spacing w:before="80" w:after="80"/>
        <w:jc w:val="both"/>
      </w:pPr>
      <w:r>
        <w:rPr>
          <w:color w:val="000000"/>
        </w:rPr>
        <w:t>The PlausibleBA Foundation is the governing and operating entity at the centre of the entire platform strategy. It is co-founded by Dr Terry Roach and Professor Asif Gill. The Foundation owns the PlausibleBA platform, manages the plugin ecosystem, holds all licensing agreements with organisations, does all billing and revenue collection, and distributes defined shares back to its stakeholders -- including the associations.</w:t>
      </w:r>
    </w:p>
    <w:p w14:paraId="2EA3E887" w14:textId="77777777" w:rsidR="007A704B" w:rsidRDefault="007A704B">
      <w:pPr>
        <w:spacing w:before="80" w:after="80"/>
      </w:pPr>
    </w:p>
    <w:p w14:paraId="611C613A" w14:textId="77777777" w:rsidR="007A704B" w:rsidRDefault="00000000">
      <w:pPr>
        <w:spacing w:before="80" w:after="80"/>
        <w:jc w:val="both"/>
      </w:pPr>
      <w:r>
        <w:rPr>
          <w:color w:val="000000"/>
        </w:rPr>
        <w:t>This structure resolves several problems that alternative arrangements cannot. Organisations licensing the platform want their agreement with the entity that owns and operates it -- not with a professional association that happens to be distributing it. The associations do not have the operational infrastructure for platform licensing, invoicing, and multi-party revenue reconciliation. And having the Foundation as the contracting and billing party removes any perception of personal commercial benefit accruing directly to either founder through association channels.</w:t>
      </w:r>
    </w:p>
    <w:p w14:paraId="18CAD446"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0F8BDC9C" w14:textId="77777777">
        <w:tblPrEx>
          <w:tblCellMar>
            <w:top w:w="0" w:type="dxa"/>
            <w:bottom w:w="0" w:type="dxa"/>
          </w:tblCellMar>
        </w:tblPrEx>
        <w:tc>
          <w:tcPr>
            <w:tcW w:w="9360" w:type="dxa"/>
            <w:tcBorders>
              <w:top w:val="single" w:sz="6" w:space="0" w:color="2BBCD4"/>
              <w:left w:val="none" w:sz="0" w:space="0" w:color="FFFFFF"/>
              <w:bottom w:val="none" w:sz="0" w:space="0" w:color="FFFFFF"/>
              <w:right w:val="none" w:sz="0" w:space="0" w:color="FFFFFF"/>
            </w:tcBorders>
            <w:shd w:val="clear" w:color="auto" w:fill="E8EEF5"/>
            <w:tcMar>
              <w:top w:w="120" w:type="dxa"/>
              <w:left w:w="160" w:type="dxa"/>
              <w:bottom w:w="120" w:type="dxa"/>
              <w:right w:w="160" w:type="dxa"/>
            </w:tcMar>
          </w:tcPr>
          <w:p w14:paraId="383E51FA" w14:textId="77777777" w:rsidR="007A704B" w:rsidRDefault="00000000">
            <w:pPr>
              <w:spacing w:after="60"/>
            </w:pPr>
            <w:r>
              <w:rPr>
                <w:rFonts w:ascii="Trebuchet MS" w:eastAsia="Trebuchet MS" w:hAnsi="Trebuchet MS" w:cs="Trebuchet MS"/>
                <w:b/>
                <w:bCs/>
                <w:color w:val="0F2044"/>
                <w:sz w:val="20"/>
                <w:szCs w:val="20"/>
              </w:rPr>
              <w:t>The governing principle</w:t>
            </w:r>
          </w:p>
          <w:p w14:paraId="49DBC7C6" w14:textId="77777777" w:rsidR="007A704B" w:rsidRDefault="00000000">
            <w:pPr>
              <w:jc w:val="both"/>
            </w:pPr>
            <w:r>
              <w:rPr>
                <w:color w:val="000000"/>
                <w:sz w:val="21"/>
                <w:szCs w:val="21"/>
              </w:rPr>
              <w:t>The Foundation is independent of any single party's commercial interest. The co-founders hold their position by virtue of intellectual contribution and operational responsibility, not by virtue of financial extraction. Commercial returns for the co-founders flow through their participation in the plugin ecosystem as developers, not through the Foundation's governance role. The Foundation's purpose is to steward the platform in the interests of the whole community.</w:t>
            </w:r>
          </w:p>
        </w:tc>
      </w:tr>
    </w:tbl>
    <w:p w14:paraId="039B12CF" w14:textId="77777777" w:rsidR="007A704B" w:rsidRDefault="007A704B">
      <w:pPr>
        <w:spacing w:before="120" w:after="80"/>
      </w:pPr>
    </w:p>
    <w:p w14:paraId="6F2D4346" w14:textId="77777777" w:rsidR="007A704B" w:rsidRDefault="00000000">
      <w:pPr>
        <w:pStyle w:val="Heading2"/>
      </w:pPr>
      <w:r>
        <w:t>4.1 Foundation Structure and Legal Form</w:t>
      </w:r>
    </w:p>
    <w:p w14:paraId="367AB77C" w14:textId="77777777" w:rsidR="007A704B" w:rsidRDefault="00000000">
      <w:pPr>
        <w:spacing w:before="80" w:after="80"/>
        <w:jc w:val="both"/>
      </w:pPr>
      <w:r>
        <w:rPr>
          <w:color w:val="000000"/>
        </w:rPr>
        <w:t>The Foundation requires a legal form that is appropriate to its role as a contracting party, a billing entity, and a multi-stakeholder governance structure. The exact legal form -- whether a nonprofit entity, a company limited by guarantee, or another structure -- should be determined with professional legal and accounting advice before any commitments are made to the associations or to Anthropic.</w:t>
      </w:r>
    </w:p>
    <w:p w14:paraId="1CDDEED5" w14:textId="77777777" w:rsidR="007A704B" w:rsidRDefault="007A704B">
      <w:pPr>
        <w:spacing w:before="80" w:after="80"/>
      </w:pPr>
    </w:p>
    <w:p w14:paraId="0920329B" w14:textId="77777777" w:rsidR="007A704B" w:rsidRDefault="00000000">
      <w:pPr>
        <w:spacing w:before="80" w:after="80"/>
        <w:jc w:val="both"/>
      </w:pPr>
      <w:r>
        <w:rPr>
          <w:color w:val="000000"/>
        </w:rPr>
        <w:t>The key requirements that the legal form must satisfy are as follows.</w:t>
      </w:r>
    </w:p>
    <w:p w14:paraId="334213E4" w14:textId="77777777" w:rsidR="007A704B" w:rsidRDefault="007A704B">
      <w:pPr>
        <w:spacing w:before="60" w:after="40"/>
      </w:pPr>
    </w:p>
    <w:p w14:paraId="0901D26C" w14:textId="77777777" w:rsidR="007A704B" w:rsidRDefault="00000000">
      <w:pPr>
        <w:pStyle w:val="ListParagraph"/>
        <w:numPr>
          <w:ilvl w:val="0"/>
          <w:numId w:val="2"/>
        </w:numPr>
        <w:spacing w:before="60" w:after="60"/>
      </w:pPr>
      <w:r>
        <w:rPr>
          <w:color w:val="000000"/>
        </w:rPr>
        <w:t>Capacity to enter into licensing agreements with organisations as the contracting party</w:t>
      </w:r>
    </w:p>
    <w:p w14:paraId="25F21C61" w14:textId="77777777" w:rsidR="007A704B" w:rsidRDefault="00000000">
      <w:pPr>
        <w:pStyle w:val="ListParagraph"/>
        <w:numPr>
          <w:ilvl w:val="0"/>
          <w:numId w:val="2"/>
        </w:numPr>
        <w:spacing w:before="60" w:after="60"/>
      </w:pPr>
      <w:r>
        <w:rPr>
          <w:color w:val="000000"/>
        </w:rPr>
        <w:t>Capacity to collect revenue, hold funds, and distribute defined shares to stakeholders</w:t>
      </w:r>
    </w:p>
    <w:p w14:paraId="54376FFB" w14:textId="77777777" w:rsidR="007A704B" w:rsidRDefault="00000000">
      <w:pPr>
        <w:pStyle w:val="ListParagraph"/>
        <w:numPr>
          <w:ilvl w:val="0"/>
          <w:numId w:val="2"/>
        </w:numPr>
        <w:spacing w:before="60" w:after="60"/>
      </w:pPr>
      <w:r>
        <w:rPr>
          <w:color w:val="000000"/>
        </w:rPr>
        <w:t>Governance structure that gives the co-founders operational authority without creating a perception of personal financial extraction through the Foundation itself</w:t>
      </w:r>
    </w:p>
    <w:p w14:paraId="6DCFD99B" w14:textId="77777777" w:rsidR="007A704B" w:rsidRDefault="00000000">
      <w:pPr>
        <w:pStyle w:val="ListParagraph"/>
        <w:numPr>
          <w:ilvl w:val="0"/>
          <w:numId w:val="2"/>
        </w:numPr>
        <w:spacing w:before="60" w:after="60"/>
      </w:pPr>
      <w:r>
        <w:rPr>
          <w:color w:val="000000"/>
        </w:rPr>
        <w:t>Independence from any single association, enabling the Foundation to serve IIBA, the Guild, and any future association partners without preferential treatment</w:t>
      </w:r>
    </w:p>
    <w:p w14:paraId="59DBFEF3" w14:textId="77777777" w:rsidR="007A704B" w:rsidRDefault="00000000">
      <w:pPr>
        <w:pStyle w:val="ListParagraph"/>
        <w:numPr>
          <w:ilvl w:val="0"/>
          <w:numId w:val="2"/>
        </w:numPr>
        <w:spacing w:before="60" w:after="60"/>
      </w:pPr>
      <w:r>
        <w:rPr>
          <w:color w:val="000000"/>
        </w:rPr>
        <w:t>Durability -- the Foundation's ownership of the platform core must be unambiguous and not contingent on either co-founder's continued personal involvement</w:t>
      </w:r>
    </w:p>
    <w:p w14:paraId="67D0A2D7"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4840C119" w14:textId="77777777">
        <w:tblPrEx>
          <w:tblCellMar>
            <w:top w:w="0" w:type="dxa"/>
            <w:bottom w:w="0" w:type="dxa"/>
          </w:tblCellMar>
        </w:tblPrEx>
        <w:tc>
          <w:tcPr>
            <w:tcW w:w="9360" w:type="dxa"/>
            <w:tcBorders>
              <w:top w:val="single" w:sz="6" w:space="0" w:color="F0B429"/>
              <w:left w:val="none" w:sz="0" w:space="0" w:color="FFFFFF"/>
              <w:bottom w:val="none" w:sz="0" w:space="0" w:color="FFFFFF"/>
              <w:right w:val="none" w:sz="0" w:space="0" w:color="FFFFFF"/>
            </w:tcBorders>
            <w:shd w:val="clear" w:color="auto" w:fill="FFF8E1"/>
            <w:tcMar>
              <w:top w:w="120" w:type="dxa"/>
              <w:left w:w="160" w:type="dxa"/>
              <w:bottom w:w="120" w:type="dxa"/>
              <w:right w:w="160" w:type="dxa"/>
            </w:tcMar>
          </w:tcPr>
          <w:p w14:paraId="4A0407E4" w14:textId="77777777" w:rsidR="007A704B" w:rsidRDefault="00000000">
            <w:pPr>
              <w:spacing w:after="60"/>
            </w:pPr>
            <w:r>
              <w:rPr>
                <w:rFonts w:ascii="Trebuchet MS" w:eastAsia="Trebuchet MS" w:hAnsi="Trebuchet MS" w:cs="Trebuchet MS"/>
                <w:b/>
                <w:bCs/>
                <w:color w:val="B7791F"/>
                <w:sz w:val="20"/>
                <w:szCs w:val="20"/>
              </w:rPr>
              <w:t>Action required before any public commitment</w:t>
            </w:r>
          </w:p>
          <w:p w14:paraId="17AFA45A" w14:textId="77777777" w:rsidR="007A704B" w:rsidRDefault="00000000">
            <w:pPr>
              <w:jc w:val="both"/>
            </w:pPr>
            <w:r>
              <w:rPr>
                <w:color w:val="000000"/>
                <w:sz w:val="21"/>
                <w:szCs w:val="21"/>
              </w:rPr>
              <w:t>Engage a technology lawyer and an accountant to advise on the appropriate legal entity structure for the Foundation before any commitments are made to IIBA, the Guild, or Anthropic. The entity structure is the foundation of everything else in this document. Getting it right is more important than getting it fast.</w:t>
            </w:r>
          </w:p>
        </w:tc>
      </w:tr>
    </w:tbl>
    <w:p w14:paraId="773CC2F5" w14:textId="77777777" w:rsidR="007A704B" w:rsidRDefault="007A704B">
      <w:pPr>
        <w:spacing w:before="120" w:after="80"/>
      </w:pPr>
    </w:p>
    <w:p w14:paraId="711019E7" w14:textId="77777777" w:rsidR="007A704B" w:rsidRDefault="00000000">
      <w:pPr>
        <w:pStyle w:val="Heading2"/>
      </w:pPr>
      <w:r>
        <w:t>4.2 Co-Founders</w:t>
      </w:r>
    </w:p>
    <w:p w14:paraId="11BE9826" w14:textId="77777777" w:rsidR="007A704B" w:rsidRDefault="00000000">
      <w:pPr>
        <w:spacing w:before="80" w:after="80"/>
        <w:jc w:val="both"/>
      </w:pPr>
      <w:r>
        <w:rPr>
          <w:color w:val="000000"/>
        </w:rPr>
        <w:t>Dr Terry Roach and Professor Asif Gill are the co-founders of the PlausibleBA Foundation. Their roles are defined by intellectual contribution and operational responsibility.</w:t>
      </w:r>
    </w:p>
    <w:p w14:paraId="57DFAC91"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A704B" w14:paraId="2B574D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3AEC0A72" w14:textId="77777777" w:rsidR="007A704B" w:rsidRDefault="00000000">
            <w:r>
              <w:rPr>
                <w:b/>
                <w:bCs/>
                <w:color w:val="FFFFFF"/>
                <w:sz w:val="18"/>
                <w:szCs w:val="18"/>
              </w:rPr>
              <w:t>Co-Founder</w:t>
            </w:r>
          </w:p>
        </w:tc>
        <w:tc>
          <w:tcPr>
            <w:tcW w:w="20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0C59941B" w14:textId="77777777" w:rsidR="007A704B" w:rsidRDefault="00000000">
            <w:r>
              <w:rPr>
                <w:b/>
                <w:bCs/>
                <w:color w:val="FFFFFF"/>
                <w:sz w:val="18"/>
                <w:szCs w:val="18"/>
              </w:rPr>
              <w:t>Primary Role</w:t>
            </w:r>
          </w:p>
        </w:tc>
        <w:tc>
          <w:tcPr>
            <w:tcW w:w="536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6393775E" w14:textId="77777777" w:rsidR="007A704B" w:rsidRDefault="00000000">
            <w:r>
              <w:rPr>
                <w:b/>
                <w:bCs/>
                <w:color w:val="FFFFFF"/>
                <w:sz w:val="18"/>
                <w:szCs w:val="18"/>
              </w:rPr>
              <w:t>Contribution</w:t>
            </w:r>
          </w:p>
        </w:tc>
      </w:tr>
      <w:tr w:rsidR="007A704B" w14:paraId="2E708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EC193" w14:textId="77777777" w:rsidR="007A704B" w:rsidRDefault="00000000">
            <w:r>
              <w:rPr>
                <w:color w:val="000000"/>
                <w:sz w:val="18"/>
                <w:szCs w:val="18"/>
              </w:rPr>
              <w:t>Dr Terry Roach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503CA" w14:textId="77777777" w:rsidR="007A704B" w:rsidRDefault="00000000">
            <w:r>
              <w:rPr>
                <w:color w:val="000000"/>
                <w:sz w:val="18"/>
                <w:szCs w:val="18"/>
              </w:rPr>
              <w:t>Founding Architect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18A1" w14:textId="77777777" w:rsidR="007A704B" w:rsidRDefault="00000000">
            <w:r>
              <w:rPr>
                <w:color w:val="000000"/>
                <w:sz w:val="18"/>
                <w:szCs w:val="18"/>
              </w:rPr>
              <w:t>Intellectual author of the ontological framework, the platform architecture, and the discernment scaffolding design pattern. Responsible for the platform's intellectual direction and the integrity of the theoretical foundation. Principal Investigator of the research programme.</w:t>
            </w:r>
          </w:p>
        </w:tc>
      </w:tr>
      <w:tr w:rsidR="007A704B" w14:paraId="7977C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2EEFD1D1" w14:textId="77777777" w:rsidR="007A704B" w:rsidRDefault="00000000">
            <w:r>
              <w:rPr>
                <w:color w:val="000000"/>
                <w:sz w:val="18"/>
                <w:szCs w:val="18"/>
              </w:rPr>
              <w:lastRenderedPageBreak/>
              <w:t>Prof Asif Gill</w:t>
            </w:r>
          </w:p>
        </w:tc>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4151129F" w14:textId="77777777" w:rsidR="007A704B" w:rsidRDefault="00000000">
            <w:r>
              <w:rPr>
                <w:color w:val="000000"/>
                <w:sz w:val="18"/>
                <w:szCs w:val="18"/>
              </w:rPr>
              <w:t>Founding Research Director</w:t>
            </w:r>
          </w:p>
        </w:tc>
        <w:tc>
          <w:tcPr>
            <w:tcW w:w="53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5E44337A" w14:textId="77777777" w:rsidR="007A704B" w:rsidRDefault="00000000">
            <w:r>
              <w:rPr>
                <w:color w:val="000000"/>
                <w:sz w:val="18"/>
                <w:szCs w:val="18"/>
              </w:rPr>
              <w:t>Academic co-author of the research programme. Responsible for research governance, the UTS relationship, and the academic credibility of the platform's theoretical foundations. Ensures alignment between the research programme outputs and the platform's development.</w:t>
            </w:r>
          </w:p>
        </w:tc>
      </w:tr>
    </w:tbl>
    <w:p w14:paraId="033626CE" w14:textId="77777777" w:rsidR="007A704B" w:rsidRDefault="007A704B">
      <w:pPr>
        <w:spacing w:before="120" w:after="80"/>
      </w:pPr>
    </w:p>
    <w:p w14:paraId="4F7B6675" w14:textId="77777777" w:rsidR="007A704B" w:rsidRDefault="00000000">
      <w:pPr>
        <w:pStyle w:val="Heading2"/>
      </w:pPr>
      <w:r>
        <w:t>4.3 Stakeholder Council</w:t>
      </w:r>
    </w:p>
    <w:p w14:paraId="4C166422" w14:textId="77777777" w:rsidR="007A704B" w:rsidRDefault="00000000">
      <w:pPr>
        <w:spacing w:before="80" w:after="80"/>
        <w:jc w:val="both"/>
      </w:pPr>
      <w:r>
        <w:rPr>
          <w:color w:val="000000"/>
        </w:rPr>
        <w:t>The Foundation operates under a Stakeholder Council that governs the platform roadmap, oversees the plugin ecosystem, approves material changes to the licensing model, and receives the Foundation's financial reporting. The Stakeholder Council is not an operational body -- it is a governance and accountability structure.</w:t>
      </w:r>
    </w:p>
    <w:p w14:paraId="120C3DBA"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016"/>
        <w:gridCol w:w="5360"/>
      </w:tblGrid>
      <w:tr w:rsidR="007A704B" w14:paraId="56384301"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7AA8C615" w14:textId="77777777" w:rsidR="007A704B" w:rsidRDefault="00000000">
            <w:r>
              <w:rPr>
                <w:b/>
                <w:bCs/>
                <w:color w:val="FFFFFF"/>
                <w:sz w:val="18"/>
                <w:szCs w:val="18"/>
              </w:rPr>
              <w:t>Member</w:t>
            </w:r>
          </w:p>
        </w:tc>
        <w:tc>
          <w:tcPr>
            <w:tcW w:w="2016"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37C418B4" w14:textId="77777777" w:rsidR="007A704B" w:rsidRDefault="00000000">
            <w:r>
              <w:rPr>
                <w:b/>
                <w:bCs/>
                <w:color w:val="FFFFFF"/>
                <w:sz w:val="18"/>
                <w:szCs w:val="18"/>
              </w:rPr>
              <w:t>Capacity</w:t>
            </w:r>
          </w:p>
        </w:tc>
        <w:tc>
          <w:tcPr>
            <w:tcW w:w="536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78F47BA4" w14:textId="77777777" w:rsidR="007A704B" w:rsidRDefault="00000000">
            <w:r>
              <w:rPr>
                <w:b/>
                <w:bCs/>
                <w:color w:val="FFFFFF"/>
                <w:sz w:val="18"/>
                <w:szCs w:val="18"/>
              </w:rPr>
              <w:t>Role on Council</w:t>
            </w:r>
          </w:p>
        </w:tc>
      </w:tr>
      <w:tr w:rsidR="007A704B" w14:paraId="3803D216"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63F1" w14:textId="77777777" w:rsidR="007A704B" w:rsidRDefault="00000000">
            <w:r>
              <w:rPr>
                <w:color w:val="000000"/>
                <w:sz w:val="18"/>
                <w:szCs w:val="18"/>
              </w:rPr>
              <w:t>Dr Terry Roach</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9E194" w14:textId="49F50D0B" w:rsidR="007A704B" w:rsidRDefault="00000000">
            <w:r>
              <w:rPr>
                <w:color w:val="000000"/>
                <w:sz w:val="18"/>
                <w:szCs w:val="18"/>
              </w:rPr>
              <w:t>Co-Founder &amp; Contributing Architect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BA1D" w14:textId="77777777" w:rsidR="007A704B" w:rsidRDefault="00000000">
            <w:r>
              <w:rPr>
                <w:color w:val="000000"/>
                <w:sz w:val="18"/>
                <w:szCs w:val="18"/>
              </w:rPr>
              <w:t>Chairs the Stakeholder Council. Holds a protected role as “constitutional guardian” of the ontology and platform’s core intellectual direction (e.g. casting vote on metamodel-conformance and architectural-integrity questions). Does NOT hold a unilateral casting vote on licensing economics or ecosystem revenue arrangements — those are decided by the full Stakeholder Council majority, with conflict-of-interest recusal where applicable. (Refinement post DEC-122 SPAR review: the cleaner separation between intellectual integrity and commercial governance is a load-bearing credibility signal in IIBA / Guild / Anthropic conversations.)</w:t>
            </w:r>
          </w:p>
        </w:tc>
      </w:tr>
      <w:tr w:rsidR="007A704B" w14:paraId="58643599"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059F70E2" w14:textId="77777777" w:rsidR="007A704B" w:rsidRDefault="00000000">
            <w:r>
              <w:rPr>
                <w:color w:val="000000"/>
                <w:sz w:val="18"/>
                <w:szCs w:val="18"/>
              </w:rPr>
              <w:t>Prof Asif Gill</w:t>
            </w:r>
          </w:p>
        </w:tc>
        <w:tc>
          <w:tcPr>
            <w:tcW w:w="2016"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50BA4E3D" w14:textId="378D9827" w:rsidR="007A704B" w:rsidRDefault="00000000">
            <w:r>
              <w:rPr>
                <w:color w:val="000000"/>
                <w:sz w:val="18"/>
                <w:szCs w:val="18"/>
              </w:rPr>
              <w:t>Co-Founder &amp; Academic Partner</w:t>
            </w:r>
          </w:p>
        </w:tc>
        <w:tc>
          <w:tcPr>
            <w:tcW w:w="53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16586696" w14:textId="5622CC7D" w:rsidR="007A704B" w:rsidRDefault="00000000">
            <w:r>
              <w:rPr>
                <w:color w:val="000000"/>
                <w:sz w:val="18"/>
                <w:szCs w:val="18"/>
              </w:rPr>
              <w:t>Deputy chair. Voting member on all roadmap and governance decisions. Represents the research programme interests. Ensures platform development remains consistent with the research programme and the theoretical foundations.</w:t>
            </w:r>
          </w:p>
        </w:tc>
      </w:tr>
      <w:tr w:rsidR="007A704B" w14:paraId="25E289CE"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15C3" w14:textId="77777777" w:rsidR="007A704B" w:rsidRDefault="00000000">
            <w:r>
              <w:rPr>
                <w:color w:val="000000"/>
                <w:sz w:val="18"/>
                <w:szCs w:val="18"/>
              </w:rPr>
              <w:t>IIBA Representative</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91E3" w14:textId="77777777" w:rsidR="007A704B" w:rsidRDefault="00000000">
            <w:r>
              <w:rPr>
                <w:color w:val="000000"/>
                <w:sz w:val="18"/>
                <w:szCs w:val="18"/>
              </w:rPr>
              <w:t>Association Partner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8635" w14:textId="77777777" w:rsidR="007A704B" w:rsidRDefault="00000000">
            <w:r>
              <w:rPr>
                <w:color w:val="000000"/>
                <w:sz w:val="18"/>
                <w:szCs w:val="18"/>
              </w:rPr>
              <w:t>Voting member. Represents the IIBA community and BABOK content layer. Receives the Foundation's financial reporting on IIBA's revenue share distribution.</w:t>
            </w:r>
          </w:p>
        </w:tc>
      </w:tr>
      <w:tr w:rsidR="007A704B" w14:paraId="620D6E93"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7ECD628C" w14:textId="77777777" w:rsidR="007A704B" w:rsidRDefault="00000000">
            <w:r>
              <w:rPr>
                <w:color w:val="000000"/>
                <w:sz w:val="18"/>
                <w:szCs w:val="18"/>
              </w:rPr>
              <w:t>Guild Representative</w:t>
            </w:r>
          </w:p>
        </w:tc>
        <w:tc>
          <w:tcPr>
            <w:tcW w:w="2016"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284A9656" w14:textId="77777777" w:rsidR="007A704B" w:rsidRDefault="00000000">
            <w:r>
              <w:rPr>
                <w:color w:val="000000"/>
                <w:sz w:val="18"/>
                <w:szCs w:val="18"/>
              </w:rPr>
              <w:t>Association Partner</w:t>
            </w:r>
          </w:p>
        </w:tc>
        <w:tc>
          <w:tcPr>
            <w:tcW w:w="53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50763649" w14:textId="77777777" w:rsidR="007A704B" w:rsidRDefault="00000000">
            <w:r>
              <w:rPr>
                <w:color w:val="000000"/>
                <w:sz w:val="18"/>
                <w:szCs w:val="18"/>
              </w:rPr>
              <w:t>Voting member. Represents the Guild community and BIZBOK content layer. Receives the Foundation's financial reporting on Guild revenue share distribution.</w:t>
            </w:r>
          </w:p>
        </w:tc>
      </w:tr>
      <w:tr w:rsidR="007A704B" w14:paraId="3AA18781" w14:textId="77777777" w:rsidTr="00A03314">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4018D369" w14:textId="77777777" w:rsidR="007A704B" w:rsidRDefault="00000000">
            <w:r>
              <w:rPr>
                <w:color w:val="000000"/>
                <w:sz w:val="18"/>
                <w:szCs w:val="18"/>
              </w:rPr>
              <w:t>Community Representative</w:t>
            </w:r>
          </w:p>
        </w:tc>
        <w:tc>
          <w:tcPr>
            <w:tcW w:w="2016"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1373460E" w14:textId="77777777" w:rsidR="007A704B" w:rsidRDefault="00000000">
            <w:r>
              <w:rPr>
                <w:color w:val="000000"/>
                <w:sz w:val="18"/>
                <w:szCs w:val="18"/>
              </w:rPr>
              <w:t>Elected</w:t>
            </w:r>
          </w:p>
        </w:tc>
        <w:tc>
          <w:tcPr>
            <w:tcW w:w="53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48533192" w14:textId="77777777" w:rsidR="007A704B" w:rsidRDefault="00000000">
            <w:r>
              <w:rPr>
                <w:color w:val="000000"/>
                <w:sz w:val="18"/>
                <w:szCs w:val="18"/>
              </w:rPr>
              <w:t>Voting member. Elected annually by active contributors to the open platform. Represents the practitioner community voice.</w:t>
            </w:r>
          </w:p>
        </w:tc>
      </w:tr>
    </w:tbl>
    <w:p w14:paraId="61D8350E" w14:textId="77777777" w:rsidR="007A704B" w:rsidRDefault="007A704B">
      <w:pPr>
        <w:spacing w:before="120" w:after="80"/>
      </w:pPr>
    </w:p>
    <w:p w14:paraId="3E784815" w14:textId="77777777" w:rsidR="007A704B" w:rsidRDefault="00000000">
      <w:pPr>
        <w:pStyle w:val="Heading2"/>
      </w:pPr>
      <w:r>
        <w:t>4.4 Foundation Operations</w:t>
      </w:r>
    </w:p>
    <w:p w14:paraId="277219FC" w14:textId="77777777" w:rsidR="007A704B" w:rsidRDefault="00000000">
      <w:pPr>
        <w:spacing w:before="80" w:after="80"/>
        <w:jc w:val="both"/>
      </w:pPr>
      <w:r>
        <w:rPr>
          <w:color w:val="000000"/>
        </w:rPr>
        <w:t>The Foundation is the operational centre of the platform. It performs the following functions directly.</w:t>
      </w:r>
    </w:p>
    <w:p w14:paraId="5F5B8F8B" w14:textId="77777777" w:rsidR="007A704B" w:rsidRDefault="007A704B">
      <w:pPr>
        <w:spacing w:before="60" w:after="40"/>
      </w:pPr>
    </w:p>
    <w:p w14:paraId="569EADC6" w14:textId="77777777" w:rsidR="007A704B" w:rsidRPr="00A03314" w:rsidRDefault="00000000">
      <w:pPr>
        <w:pStyle w:val="ListParagraph"/>
        <w:numPr>
          <w:ilvl w:val="0"/>
          <w:numId w:val="2"/>
        </w:numPr>
        <w:spacing w:before="60" w:after="60"/>
      </w:pPr>
      <w:r>
        <w:rPr>
          <w:color w:val="000000"/>
        </w:rPr>
        <w:t>Licensing and contracting -- all platform license agreements are between the Foundation and the organisation. The Foundation is the contracting party.</w:t>
      </w:r>
    </w:p>
    <w:p w14:paraId="58CB25F6" w14:textId="6FAF459C" w:rsidR="00A03314" w:rsidRDefault="00A03314">
      <w:pPr>
        <w:pStyle w:val="ListParagraph"/>
        <w:numPr>
          <w:ilvl w:val="0"/>
          <w:numId w:val="2"/>
        </w:numPr>
        <w:spacing w:before="60" w:after="60"/>
      </w:pPr>
      <w:r>
        <w:rPr>
          <w:color w:val="000000"/>
        </w:rPr>
        <w:t>Hosting and administration -- the Foundation is responsible for hosting the PlausibleBA platform infrastructure, managing the technical environment for the plugin marketplace, and administering the operational systems that support licensing, billing, and community access. This includes ensuring platform availability, security, and scalability as the ecosystem grows.</w:t>
      </w:r>
    </w:p>
    <w:p w14:paraId="207D5C73" w14:textId="77777777" w:rsidR="007A704B" w:rsidRDefault="00000000">
      <w:pPr>
        <w:pStyle w:val="ListParagraph"/>
        <w:numPr>
          <w:ilvl w:val="0"/>
          <w:numId w:val="2"/>
        </w:numPr>
        <w:spacing w:before="60" w:after="60"/>
      </w:pPr>
      <w:r>
        <w:rPr>
          <w:color w:val="000000"/>
        </w:rPr>
        <w:t>Billing and collection -- the Foundation invoices organisations for platform licenses and plugin purchases through the marketplace. It holds the revenue and distributes defined shares to stakeholders on a regular cycle.</w:t>
      </w:r>
    </w:p>
    <w:p w14:paraId="04506140" w14:textId="77777777" w:rsidR="007A704B" w:rsidRDefault="00000000">
      <w:pPr>
        <w:pStyle w:val="ListParagraph"/>
        <w:numPr>
          <w:ilvl w:val="0"/>
          <w:numId w:val="2"/>
        </w:numPr>
        <w:spacing w:before="60" w:after="60"/>
      </w:pPr>
      <w:r>
        <w:rPr>
          <w:color w:val="000000"/>
        </w:rPr>
        <w:lastRenderedPageBreak/>
        <w:t>Revenue distribution -- the Foundation distributes the associations' defined share of platform and ecosystem revenue to IIBA and the Guild on agreed terms. The associations receive their share without needing to manage billing, invoicing, or reconciliation.</w:t>
      </w:r>
    </w:p>
    <w:p w14:paraId="1AAF93F1" w14:textId="77777777" w:rsidR="007A704B" w:rsidRDefault="00000000">
      <w:pPr>
        <w:pStyle w:val="ListParagraph"/>
        <w:numPr>
          <w:ilvl w:val="0"/>
          <w:numId w:val="2"/>
        </w:numPr>
        <w:spacing w:before="60" w:after="60"/>
      </w:pPr>
      <w:r>
        <w:rPr>
          <w:color w:val="000000"/>
        </w:rPr>
        <w:t>Plugin ecosystem management -- the Foundation operates the marketplace, runs the certification process, and manages developer relations.</w:t>
      </w:r>
    </w:p>
    <w:p w14:paraId="5CCB4729" w14:textId="3866DC0C" w:rsidR="007A704B" w:rsidRDefault="00000000">
      <w:pPr>
        <w:pStyle w:val="ListParagraph"/>
        <w:numPr>
          <w:ilvl w:val="0"/>
          <w:numId w:val="2"/>
        </w:numPr>
        <w:spacing w:before="60" w:after="60"/>
      </w:pPr>
      <w:r>
        <w:rPr>
          <w:color w:val="000000"/>
        </w:rPr>
        <w:t>Platform stewardship -- the Foundation maintains the open-source core, manages the community contribution process, and oversees the technical roadmap.</w:t>
      </w:r>
    </w:p>
    <w:p w14:paraId="7D75DC16" w14:textId="77777777" w:rsidR="007A704B" w:rsidRDefault="007A704B">
      <w:pPr>
        <w:spacing w:before="80" w:after="80"/>
      </w:pPr>
    </w:p>
    <w:p w14:paraId="2D894349" w14:textId="628A029D" w:rsidR="007A704B" w:rsidRDefault="00000000">
      <w:pPr>
        <w:spacing w:before="80" w:after="80"/>
        <w:jc w:val="both"/>
      </w:pPr>
      <w:r>
        <w:rPr>
          <w:color w:val="000000"/>
        </w:rPr>
        <w:t>The Foundation's operational staff are funded from its own revenue. The staffing model covers at least three core roles: a platform administrator responsible for the open-source core and technical standards; an ecosystem manager responsible for plugin certification and marketplace operations; and a community manager responsible for practitioner engagement, documentation, and events. Additional capacity is added as revenue grows.</w:t>
      </w:r>
    </w:p>
    <w:p w14:paraId="05E714C6"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2A802055" w14:textId="77777777">
        <w:tblPrEx>
          <w:tblCellMar>
            <w:top w:w="0" w:type="dxa"/>
            <w:bottom w:w="0" w:type="dxa"/>
          </w:tblCellMar>
        </w:tblPrEx>
        <w:tc>
          <w:tcPr>
            <w:tcW w:w="9360" w:type="dxa"/>
            <w:tcBorders>
              <w:top w:val="single" w:sz="6" w:space="0" w:color="2BBCD4"/>
              <w:left w:val="none" w:sz="0" w:space="0" w:color="FFFFFF"/>
              <w:bottom w:val="none" w:sz="0" w:space="0" w:color="FFFFFF"/>
              <w:right w:val="none" w:sz="0" w:space="0" w:color="FFFFFF"/>
            </w:tcBorders>
            <w:shd w:val="clear" w:color="auto" w:fill="E8EEF5"/>
            <w:tcMar>
              <w:top w:w="120" w:type="dxa"/>
              <w:left w:w="160" w:type="dxa"/>
              <w:bottom w:w="120" w:type="dxa"/>
              <w:right w:w="160" w:type="dxa"/>
            </w:tcMar>
          </w:tcPr>
          <w:p w14:paraId="0D14ADD3" w14:textId="77777777" w:rsidR="007A704B" w:rsidRDefault="00000000">
            <w:pPr>
              <w:spacing w:after="60"/>
            </w:pPr>
            <w:r>
              <w:rPr>
                <w:rFonts w:ascii="Trebuchet MS" w:eastAsia="Trebuchet MS" w:hAnsi="Trebuchet MS" w:cs="Trebuchet MS"/>
                <w:b/>
                <w:bCs/>
                <w:color w:val="0F2044"/>
                <w:sz w:val="20"/>
                <w:szCs w:val="20"/>
              </w:rPr>
              <w:t>Why the Foundation bills and distributes rather than the associations collecting and paying</w:t>
            </w:r>
          </w:p>
          <w:p w14:paraId="6D5D2C79" w14:textId="77777777" w:rsidR="007A704B" w:rsidRDefault="00000000">
            <w:pPr>
              <w:jc w:val="both"/>
            </w:pPr>
            <w:r>
              <w:rPr>
                <w:color w:val="000000"/>
                <w:sz w:val="21"/>
                <w:szCs w:val="21"/>
              </w:rPr>
              <w:t>Organisations want their license agreement with the entity that owns and operates the platform -- not with a professional association that is acting as a distributor. The associations do not have the operational infrastructure for platform licensing, multi-party billing, and revenue reconciliation. And having a single billing entity simplifies the experience for organisations significantly. The Foundation collects, reconciles, and distributes. The associations receive their share cleanly.</w:t>
            </w:r>
          </w:p>
        </w:tc>
      </w:tr>
    </w:tbl>
    <w:p w14:paraId="106538D2" w14:textId="77777777" w:rsidR="007A704B" w:rsidRDefault="007A704B">
      <w:pPr>
        <w:spacing w:before="120" w:after="80"/>
      </w:pPr>
    </w:p>
    <w:p w14:paraId="16417EE6" w14:textId="77777777" w:rsidR="007A704B" w:rsidRDefault="00000000">
      <w:pPr>
        <w:pStyle w:val="Heading2"/>
      </w:pPr>
      <w:r>
        <w:t>4.5 Plugin Certification Process</w:t>
      </w:r>
    </w:p>
    <w:p w14:paraId="69ADF047" w14:textId="77777777" w:rsidR="007A704B" w:rsidRDefault="00000000">
      <w:pPr>
        <w:spacing w:before="80" w:after="80"/>
        <w:jc w:val="both"/>
      </w:pPr>
      <w:r>
        <w:rPr>
          <w:color w:val="000000"/>
        </w:rPr>
        <w:t>Before the ecosystem opens to third-party developers, the Foundation establishes a plugin certification process that protects the platform's reputation and the organisations that deploy certified plugins. The certification framework covers four standards areas.</w:t>
      </w:r>
    </w:p>
    <w:p w14:paraId="50E7D2DF" w14:textId="77777777" w:rsidR="007A704B" w:rsidRDefault="007A704B">
      <w:pPr>
        <w:spacing w:before="60" w:after="40"/>
      </w:pPr>
    </w:p>
    <w:p w14:paraId="6891913F" w14:textId="77777777" w:rsidR="007A704B" w:rsidRDefault="00000000">
      <w:pPr>
        <w:pStyle w:val="ListParagraph"/>
        <w:numPr>
          <w:ilvl w:val="0"/>
          <w:numId w:val="2"/>
        </w:numPr>
        <w:spacing w:before="60" w:after="60"/>
      </w:pPr>
      <w:r>
        <w:rPr>
          <w:color w:val="000000"/>
        </w:rPr>
        <w:t>Technical standards -- compatibility with the platform core, API compliance, security requirements, and performance benchmarks</w:t>
      </w:r>
    </w:p>
    <w:p w14:paraId="337E0EBB" w14:textId="77777777" w:rsidR="007A704B" w:rsidRDefault="00000000">
      <w:pPr>
        <w:pStyle w:val="ListParagraph"/>
        <w:numPr>
          <w:ilvl w:val="0"/>
          <w:numId w:val="2"/>
        </w:numPr>
        <w:spacing w:before="60" w:after="60"/>
      </w:pPr>
      <w:r>
        <w:rPr>
          <w:color w:val="000000"/>
        </w:rPr>
        <w:t>Quality standards -- documentation requirements, support commitments, versioning discipline, and update obligations</w:t>
      </w:r>
    </w:p>
    <w:p w14:paraId="0607E48B" w14:textId="77777777" w:rsidR="007A704B" w:rsidRDefault="00000000">
      <w:pPr>
        <w:pStyle w:val="ListParagraph"/>
        <w:numPr>
          <w:ilvl w:val="0"/>
          <w:numId w:val="2"/>
        </w:numPr>
        <w:spacing w:before="60" w:after="60"/>
      </w:pPr>
      <w:r>
        <w:rPr>
          <w:color w:val="000000"/>
        </w:rPr>
        <w:t>Content standards -- where plugins include practitioner content, alignment with the ethical and professional standards of the sponsoring associations</w:t>
      </w:r>
    </w:p>
    <w:p w14:paraId="77D75C58" w14:textId="77777777" w:rsidR="007A704B" w:rsidRDefault="00000000">
      <w:pPr>
        <w:pStyle w:val="ListParagraph"/>
        <w:numPr>
          <w:ilvl w:val="0"/>
          <w:numId w:val="2"/>
        </w:numPr>
        <w:spacing w:before="60" w:after="60"/>
      </w:pPr>
      <w:r>
        <w:rPr>
          <w:color w:val="000000"/>
        </w:rPr>
        <w:t>Commercial standards -- pricing transparency, refund policies, and fair dealing obligations toward the organisations that purchase plugins</w:t>
      </w:r>
    </w:p>
    <w:p w14:paraId="1BFE907C" w14:textId="77777777" w:rsidR="007A704B" w:rsidRDefault="007A704B">
      <w:pPr>
        <w:spacing w:before="80" w:after="80"/>
      </w:pPr>
    </w:p>
    <w:p w14:paraId="0FF9A9E9" w14:textId="77777777" w:rsidR="007A704B" w:rsidRDefault="00000000">
      <w:pPr>
        <w:spacing w:before="80" w:after="80"/>
        <w:jc w:val="both"/>
      </w:pPr>
      <w:r>
        <w:rPr>
          <w:color w:val="000000"/>
        </w:rPr>
        <w:t>Certification is renewed annually. The co-founders' reference implementations are subject to the same certification process as any other plugin. There is no preferential treatment for Foundation-affiliated developers, which is important for the ecosystem's credibility with third-party developers and with the associations.</w:t>
      </w:r>
    </w:p>
    <w:p w14:paraId="77F80058" w14:textId="77777777" w:rsidR="007A704B" w:rsidRDefault="007A704B">
      <w:pPr>
        <w:spacing w:before="120" w:after="80"/>
      </w:pPr>
    </w:p>
    <w:p w14:paraId="003232B9" w14:textId="77777777" w:rsidR="007A704B" w:rsidRDefault="00000000">
      <w:pPr>
        <w:pStyle w:val="Heading2"/>
      </w:pPr>
      <w:r>
        <w:t>4.6 Contribution Model</w:t>
      </w:r>
    </w:p>
    <w:p w14:paraId="20D09556" w14:textId="77777777" w:rsidR="007A704B" w:rsidRDefault="00000000">
      <w:pPr>
        <w:spacing w:before="80" w:after="80"/>
        <w:jc w:val="both"/>
      </w:pPr>
      <w:r>
        <w:rPr>
          <w:color w:val="000000"/>
        </w:rPr>
        <w:lastRenderedPageBreak/>
        <w:t>Contributions to the platform core are accepted from any member of the community under the contributor licence agreement. Contributions to the association content layer are governed separately by each association. Organisations that develop proprietary content on top of the platform retain ownership of that content and are not required to contribute it back to the community.</w:t>
      </w:r>
    </w:p>
    <w:p w14:paraId="7CFDCB92" w14:textId="77777777" w:rsidR="007A704B" w:rsidRDefault="007A704B">
      <w:pPr>
        <w:spacing w:before="160" w:after="80"/>
      </w:pPr>
    </w:p>
    <w:p w14:paraId="2F77ABA2" w14:textId="77777777" w:rsidR="007A704B" w:rsidRDefault="00000000">
      <w:pPr>
        <w:pStyle w:val="Heading1"/>
      </w:pPr>
      <w:r>
        <w:t>5. Revenue Model</w:t>
      </w:r>
    </w:p>
    <w:p w14:paraId="1D00289D" w14:textId="77777777" w:rsidR="007A704B" w:rsidRDefault="00000000">
      <w:pPr>
        <w:spacing w:before="80" w:after="80"/>
        <w:jc w:val="both"/>
      </w:pPr>
      <w:r>
        <w:rPr>
          <w:color w:val="000000"/>
        </w:rPr>
        <w:t>The Foundation is the single billing and distribution entity for all platform revenue. Organisations pay the Foundation directly. The Foundation distributes defined shares to stakeholders -- the associations, plugin developers, and the Foundation itself for operations -- on agreed terms and a regular cycle. The co-founders' commercial returns flow through the plugin ecosystem as developers, not through the Foundation's governance role.</w:t>
      </w:r>
    </w:p>
    <w:p w14:paraId="2A22E2CF" w14:textId="77777777" w:rsidR="007A704B" w:rsidRDefault="007A704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7A704B" w14:paraId="4299C0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1763D586" w14:textId="77777777" w:rsidR="007A704B" w:rsidRDefault="00000000">
            <w:r>
              <w:rPr>
                <w:b/>
                <w:bCs/>
                <w:color w:val="FFFFFF"/>
                <w:sz w:val="18"/>
                <w:szCs w:val="18"/>
              </w:rPr>
              <w:t>Revenue Stream</w:t>
            </w:r>
          </w:p>
        </w:tc>
        <w:tc>
          <w:tcPr>
            <w:tcW w:w="20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6C03439A" w14:textId="77777777" w:rsidR="007A704B" w:rsidRDefault="00000000">
            <w:r>
              <w:rPr>
                <w:b/>
                <w:bCs/>
                <w:color w:val="FFFFFF"/>
                <w:sz w:val="18"/>
                <w:szCs w:val="18"/>
              </w:rPr>
              <w:t>Paid By</w:t>
            </w:r>
          </w:p>
        </w:tc>
        <w:tc>
          <w:tcPr>
            <w:tcW w:w="180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5445678D" w14:textId="77777777" w:rsidR="007A704B" w:rsidRDefault="00000000">
            <w:r>
              <w:rPr>
                <w:b/>
                <w:bCs/>
                <w:color w:val="FFFFFF"/>
                <w:sz w:val="18"/>
                <w:szCs w:val="18"/>
              </w:rPr>
              <w:t>Flows To</w:t>
            </w:r>
          </w:p>
        </w:tc>
        <w:tc>
          <w:tcPr>
            <w:tcW w:w="356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00" w:type="dxa"/>
              <w:bottom w:w="80" w:type="dxa"/>
              <w:right w:w="100" w:type="dxa"/>
            </w:tcMar>
          </w:tcPr>
          <w:p w14:paraId="05A268C3" w14:textId="77777777" w:rsidR="007A704B" w:rsidRDefault="00000000">
            <w:r>
              <w:rPr>
                <w:b/>
                <w:bCs/>
                <w:color w:val="FFFFFF"/>
                <w:sz w:val="18"/>
                <w:szCs w:val="18"/>
              </w:rPr>
              <w:t>Notes</w:t>
            </w:r>
          </w:p>
        </w:tc>
      </w:tr>
      <w:tr w:rsidR="007A704B" w14:paraId="40D70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876381" w14:textId="77777777" w:rsidR="007A704B" w:rsidRDefault="00000000">
            <w:r>
              <w:rPr>
                <w:color w:val="000000"/>
                <w:sz w:val="18"/>
                <w:szCs w:val="18"/>
              </w:rPr>
              <w:t>Platform license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010137" w14:textId="77777777" w:rsidR="007A704B" w:rsidRDefault="00000000">
            <w:r>
              <w:rPr>
                <w:color w:val="000000"/>
                <w:sz w:val="18"/>
                <w:szCs w:val="18"/>
              </w:rPr>
              <w:t>Organisations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985B0B" w14:textId="77777777" w:rsidR="007A704B" w:rsidRDefault="00000000">
            <w:r>
              <w:rPr>
                <w:color w:val="000000"/>
                <w:sz w:val="18"/>
                <w:szCs w:val="18"/>
              </w:rPr>
              <w:t>Foundation (then distributed)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E99A72" w14:textId="77777777" w:rsidR="007A704B" w:rsidRDefault="00000000">
            <w:r>
              <w:rPr>
                <w:color w:val="000000"/>
                <w:sz w:val="18"/>
                <w:szCs w:val="18"/>
              </w:rPr>
              <w:t>Foundation is the contracting and billing party. Collects license fees and distributes defined shares to associations and Foundation operations on agreed terms.</w:t>
            </w:r>
          </w:p>
        </w:tc>
      </w:tr>
      <w:tr w:rsidR="007A704B" w14:paraId="240F0A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13F5CE07" w14:textId="77777777" w:rsidR="007A704B" w:rsidRDefault="00000000">
            <w:r>
              <w:rPr>
                <w:color w:val="000000"/>
                <w:sz w:val="18"/>
                <w:szCs w:val="18"/>
              </w:rPr>
              <w:t>Association revenue share</w:t>
            </w:r>
          </w:p>
        </w:tc>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57EDA514" w14:textId="77777777" w:rsidR="007A704B" w:rsidRDefault="00000000">
            <w:r>
              <w:rPr>
                <w:color w:val="000000"/>
                <w:sz w:val="18"/>
                <w:szCs w:val="18"/>
              </w:rPr>
              <w:t>Foundation distribution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52E2D57E" w14:textId="77777777" w:rsidR="007A704B" w:rsidRDefault="00000000">
            <w:r>
              <w:rPr>
                <w:color w:val="000000"/>
                <w:sz w:val="18"/>
                <w:szCs w:val="18"/>
              </w:rPr>
              <w:t>IIBA and Guild</w:t>
            </w:r>
          </w:p>
        </w:tc>
        <w:tc>
          <w:tcPr>
            <w:tcW w:w="35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63252BD2" w14:textId="77777777" w:rsidR="007A704B" w:rsidRDefault="00000000">
            <w:r>
              <w:rPr>
                <w:color w:val="000000"/>
                <w:sz w:val="18"/>
                <w:szCs w:val="18"/>
              </w:rPr>
              <w:t>Associations receive their defined share of platform license revenue from the Foundation. No billing or collection infrastructure required from the associations.</w:t>
            </w:r>
          </w:p>
        </w:tc>
      </w:tr>
      <w:tr w:rsidR="007A704B" w14:paraId="02FE2C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10E4F2" w14:textId="77777777" w:rsidR="007A704B" w:rsidRDefault="00000000">
            <w:r>
              <w:rPr>
                <w:color w:val="000000"/>
                <w:sz w:val="18"/>
                <w:szCs w:val="18"/>
              </w:rPr>
              <w:t>Content subscription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2C0BD4" w14:textId="77777777" w:rsidR="007A704B" w:rsidRDefault="00000000">
            <w:r>
              <w:rPr>
                <w:color w:val="000000"/>
                <w:sz w:val="18"/>
                <w:szCs w:val="18"/>
              </w:rPr>
              <w:t>Organisations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CE9DDA" w14:textId="77777777" w:rsidR="007A704B" w:rsidRDefault="00000000">
            <w:r>
              <w:rPr>
                <w:color w:val="000000"/>
                <w:sz w:val="18"/>
                <w:szCs w:val="18"/>
              </w:rPr>
              <w:t>Foundation (then to associations)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8AAC3C" w14:textId="77777777" w:rsidR="007A704B" w:rsidRDefault="00000000">
            <w:r>
              <w:rPr>
                <w:color w:val="000000"/>
                <w:sz w:val="18"/>
                <w:szCs w:val="18"/>
              </w:rPr>
              <w:t>Content subscriptions billed by the Foundation. Revenue distributed to the association that owns the relevant content layer.</w:t>
            </w:r>
          </w:p>
        </w:tc>
      </w:tr>
      <w:tr w:rsidR="007A704B" w14:paraId="638AB1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6C0A68E0" w14:textId="77777777" w:rsidR="007A704B" w:rsidRDefault="00000000">
            <w:r>
              <w:rPr>
                <w:color w:val="000000"/>
                <w:sz w:val="18"/>
                <w:szCs w:val="18"/>
              </w:rPr>
              <w:t>Plugin sales -- co-founder applications</w:t>
            </w:r>
          </w:p>
        </w:tc>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66664B7E" w14:textId="77777777" w:rsidR="007A704B" w:rsidRDefault="00000000">
            <w:r>
              <w:rPr>
                <w:color w:val="000000"/>
                <w:sz w:val="18"/>
                <w:szCs w:val="18"/>
              </w:rPr>
              <w:t>Organisations (via ecosystem)</w:t>
            </w:r>
          </w:p>
        </w:tc>
        <w:tc>
          <w:tcPr>
            <w:tcW w:w="18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7D6B03C0" w14:textId="77777777" w:rsidR="007A704B" w:rsidRDefault="00000000">
            <w:r>
              <w:rPr>
                <w:color w:val="000000"/>
                <w:sz w:val="18"/>
                <w:szCs w:val="18"/>
              </w:rPr>
              <w:t>Co-founders (after Foundation share)</w:t>
            </w:r>
          </w:p>
        </w:tc>
        <w:tc>
          <w:tcPr>
            <w:tcW w:w="35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0D7BDAEF" w14:textId="77777777" w:rsidR="007A704B" w:rsidRDefault="00000000">
            <w:r>
              <w:rPr>
                <w:color w:val="000000"/>
                <w:sz w:val="18"/>
                <w:szCs w:val="18"/>
              </w:rPr>
              <w:t>VCC scaffold engine and entitlements specification engine. Co-founders participate in the ecosystem as developers, receiving plugin revenue like any other certified developer. This is the co-founders commercial return -- separate from Foundation governance.</w:t>
            </w:r>
          </w:p>
        </w:tc>
      </w:tr>
      <w:tr w:rsidR="007A704B" w14:paraId="600597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D40167" w14:textId="77777777" w:rsidR="007A704B" w:rsidRDefault="00000000">
            <w:r>
              <w:rPr>
                <w:color w:val="000000"/>
                <w:sz w:val="18"/>
                <w:szCs w:val="18"/>
              </w:rPr>
              <w:t>Plugin sales -- third-party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46B6E5" w14:textId="77777777" w:rsidR="007A704B" w:rsidRDefault="00000000">
            <w:r>
              <w:rPr>
                <w:color w:val="000000"/>
                <w:sz w:val="18"/>
                <w:szCs w:val="18"/>
              </w:rPr>
              <w:t>Organisations (via ecosystem)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E326F0" w14:textId="77777777" w:rsidR="007A704B" w:rsidRDefault="00000000">
            <w:r>
              <w:rPr>
                <w:color w:val="000000"/>
                <w:sz w:val="18"/>
                <w:szCs w:val="18"/>
              </w:rPr>
              <w:t>Plugin developers (after Foundation share)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59A46C" w14:textId="77777777" w:rsidR="007A704B" w:rsidRDefault="00000000">
            <w:r>
              <w:rPr>
                <w:color w:val="000000"/>
                <w:sz w:val="18"/>
                <w:szCs w:val="18"/>
              </w:rPr>
              <w:t>Any certified developer may build and sell plugins through the marketplace. Foundation takes its ecosystem share; developer retains the balance.</w:t>
            </w:r>
          </w:p>
        </w:tc>
      </w:tr>
      <w:tr w:rsidR="007A704B" w14:paraId="74424B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51A15C7F" w14:textId="77777777" w:rsidR="007A704B" w:rsidRDefault="00000000">
            <w:r>
              <w:rPr>
                <w:color w:val="000000"/>
                <w:sz w:val="18"/>
                <w:szCs w:val="18"/>
              </w:rPr>
              <w:t>Foundation operating revenue</w:t>
            </w:r>
          </w:p>
        </w:tc>
        <w:tc>
          <w:tcPr>
            <w:tcW w:w="20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36665D56" w14:textId="77777777" w:rsidR="007A704B" w:rsidRDefault="00000000">
            <w:r>
              <w:rPr>
                <w:color w:val="000000"/>
                <w:sz w:val="18"/>
                <w:szCs w:val="18"/>
              </w:rPr>
              <w:t>Defined share of all platform and ecosystem revenue</w:t>
            </w:r>
          </w:p>
        </w:tc>
        <w:tc>
          <w:tcPr>
            <w:tcW w:w="180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101786FC" w14:textId="77777777" w:rsidR="007A704B" w:rsidRDefault="00000000">
            <w:r>
              <w:rPr>
                <w:color w:val="000000"/>
                <w:sz w:val="18"/>
                <w:szCs w:val="18"/>
              </w:rPr>
              <w:t>PlausibleBA Foundation</w:t>
            </w:r>
          </w:p>
        </w:tc>
        <w:tc>
          <w:tcPr>
            <w:tcW w:w="356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00" w:type="dxa"/>
              <w:bottom w:w="80" w:type="dxa"/>
              <w:right w:w="100" w:type="dxa"/>
            </w:tcMar>
          </w:tcPr>
          <w:p w14:paraId="71A223BF" w14:textId="77777777" w:rsidR="007A704B" w:rsidRDefault="00000000">
            <w:r>
              <w:rPr>
                <w:color w:val="000000"/>
                <w:sz w:val="18"/>
                <w:szCs w:val="18"/>
              </w:rPr>
              <w:t>Foundation is self-sustaining. Funds platform maintainer, ecosystem manager, and community manager roles without dependence on association subsidy.</w:t>
            </w:r>
          </w:p>
        </w:tc>
      </w:tr>
      <w:tr w:rsidR="007A704B" w14:paraId="6467EA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460485" w14:textId="77777777" w:rsidR="007A704B" w:rsidRDefault="00000000">
            <w:r>
              <w:rPr>
                <w:color w:val="000000"/>
                <w:sz w:val="18"/>
                <w:szCs w:val="18"/>
              </w:rPr>
              <w:t>Research IP licensing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283137" w14:textId="77777777" w:rsidR="007A704B" w:rsidRDefault="00000000">
            <w:r>
              <w:rPr>
                <w:color w:val="000000"/>
                <w:sz w:val="18"/>
                <w:szCs w:val="18"/>
              </w:rPr>
              <w:t>Foundation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F4EF15" w14:textId="77777777" w:rsidR="007A704B" w:rsidRDefault="00000000">
            <w:r>
              <w:rPr>
                <w:color w:val="000000"/>
                <w:sz w:val="18"/>
                <w:szCs w:val="18"/>
              </w:rPr>
              <w:t>UTS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84EC3E" w14:textId="5E8C2E81" w:rsidR="007A704B" w:rsidRDefault="00A03314">
            <w:r>
              <w:rPr>
                <w:color w:val="000000"/>
                <w:sz w:val="18"/>
                <w:szCs w:val="18"/>
              </w:rPr>
              <w:t>Optional opportunity for Research IP licensed from UTS to the Foundation for incorporation into the platform and content layer.</w:t>
            </w:r>
          </w:p>
        </w:tc>
      </w:tr>
    </w:tbl>
    <w:p w14:paraId="01A6AF7C" w14:textId="77777777" w:rsidR="007A704B" w:rsidRDefault="007A704B">
      <w:pPr>
        <w:spacing w:before="120" w:after="80"/>
      </w:pPr>
    </w:p>
    <w:p w14:paraId="72A6DDB1" w14:textId="77777777" w:rsidR="007A704B" w:rsidRDefault="00000000">
      <w:pPr>
        <w:pStyle w:val="Heading2"/>
      </w:pPr>
      <w:r>
        <w:lastRenderedPageBreak/>
        <w:t>5.1 The Founding Agreement</w:t>
      </w:r>
    </w:p>
    <w:p w14:paraId="0693D19B" w14:textId="77777777" w:rsidR="007A704B" w:rsidRDefault="00000000">
      <w:pPr>
        <w:spacing w:before="80" w:after="80"/>
        <w:jc w:val="both"/>
      </w:pPr>
      <w:r>
        <w:rPr>
          <w:color w:val="000000"/>
        </w:rPr>
        <w:t>Before any public commitment is made, the co-founders and the associations need a founding agreement that establishes the following.</w:t>
      </w:r>
    </w:p>
    <w:p w14:paraId="6FDCE160" w14:textId="77777777" w:rsidR="007A704B" w:rsidRDefault="007A704B">
      <w:pPr>
        <w:spacing w:before="60" w:after="40"/>
      </w:pPr>
    </w:p>
    <w:p w14:paraId="07BF1751" w14:textId="77777777" w:rsidR="007A704B" w:rsidRDefault="00000000">
      <w:pPr>
        <w:pStyle w:val="ListParagraph"/>
        <w:numPr>
          <w:ilvl w:val="0"/>
          <w:numId w:val="2"/>
        </w:numPr>
        <w:spacing w:before="60" w:after="60"/>
      </w:pPr>
      <w:r>
        <w:rPr>
          <w:color w:val="000000"/>
        </w:rPr>
        <w:t>The legal structure of the Foundation and the co-founders' roles within it</w:t>
      </w:r>
    </w:p>
    <w:p w14:paraId="48EE2012" w14:textId="77777777" w:rsidR="007A704B" w:rsidRDefault="00000000">
      <w:pPr>
        <w:pStyle w:val="ListParagraph"/>
        <w:numPr>
          <w:ilvl w:val="0"/>
          <w:numId w:val="2"/>
        </w:numPr>
        <w:spacing w:before="60" w:after="60"/>
      </w:pPr>
      <w:r>
        <w:rPr>
          <w:color w:val="000000"/>
        </w:rPr>
        <w:t>The ownership of the platform core IP -- contributed by the co-founders to the Foundation, with appropriate acknowledgement of the theoretical foundation that preceded it</w:t>
      </w:r>
    </w:p>
    <w:p w14:paraId="72511B5E" w14:textId="77777777" w:rsidR="007A704B" w:rsidRDefault="00000000">
      <w:pPr>
        <w:pStyle w:val="ListParagraph"/>
        <w:numPr>
          <w:ilvl w:val="0"/>
          <w:numId w:val="2"/>
        </w:numPr>
        <w:spacing w:before="60" w:after="60"/>
      </w:pPr>
      <w:r>
        <w:rPr>
          <w:color w:val="000000"/>
        </w:rPr>
        <w:t>The revenue share rates for platform licensing and the plugin ecosystem -- the Foundation's operating share, and the associations' distribution share</w:t>
      </w:r>
    </w:p>
    <w:p w14:paraId="2C93D445" w14:textId="77777777" w:rsidR="007A704B" w:rsidRDefault="00000000">
      <w:pPr>
        <w:pStyle w:val="ListParagraph"/>
        <w:numPr>
          <w:ilvl w:val="0"/>
          <w:numId w:val="2"/>
        </w:numPr>
        <w:spacing w:before="60" w:after="60"/>
      </w:pPr>
      <w:r>
        <w:rPr>
          <w:color w:val="000000"/>
        </w:rPr>
        <w:t>The treatment of future IP produced by the research programme and its relationship to the platform and the Foundation</w:t>
      </w:r>
    </w:p>
    <w:p w14:paraId="3E431CEE" w14:textId="77777777" w:rsidR="007A704B" w:rsidRDefault="00000000">
      <w:pPr>
        <w:pStyle w:val="ListParagraph"/>
        <w:numPr>
          <w:ilvl w:val="0"/>
          <w:numId w:val="2"/>
        </w:numPr>
        <w:spacing w:before="60" w:after="60"/>
      </w:pPr>
      <w:r>
        <w:rPr>
          <w:color w:val="000000"/>
        </w:rPr>
        <w:t>The conditions under which the association partnership can be renegotiated or terminated</w:t>
      </w:r>
    </w:p>
    <w:p w14:paraId="2FB9A357" w14:textId="77777777" w:rsidR="007A704B" w:rsidRDefault="00000000">
      <w:pPr>
        <w:pStyle w:val="ListParagraph"/>
        <w:numPr>
          <w:ilvl w:val="0"/>
          <w:numId w:val="2"/>
        </w:numPr>
        <w:spacing w:before="60" w:after="60"/>
      </w:pPr>
      <w:r>
        <w:rPr>
          <w:color w:val="000000"/>
        </w:rPr>
        <w:t>The acquisition protection clause -- what happens to the Foundation's independence and the open platform core if either co-founder's commercial interests are acquired by a third party</w:t>
      </w:r>
    </w:p>
    <w:p w14:paraId="7FBC0204"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704B" w14:paraId="3A4AADBA" w14:textId="77777777">
        <w:tblPrEx>
          <w:tblCellMar>
            <w:top w:w="0" w:type="dxa"/>
            <w:bottom w:w="0" w:type="dxa"/>
          </w:tblCellMar>
        </w:tblPrEx>
        <w:tc>
          <w:tcPr>
            <w:tcW w:w="9360" w:type="dxa"/>
            <w:tcBorders>
              <w:top w:val="single" w:sz="6" w:space="0" w:color="F0B429"/>
              <w:left w:val="none" w:sz="0" w:space="0" w:color="FFFFFF"/>
              <w:bottom w:val="none" w:sz="0" w:space="0" w:color="FFFFFF"/>
              <w:right w:val="none" w:sz="0" w:space="0" w:color="FFFFFF"/>
            </w:tcBorders>
            <w:shd w:val="clear" w:color="auto" w:fill="FFF8E1"/>
            <w:tcMar>
              <w:top w:w="120" w:type="dxa"/>
              <w:left w:w="160" w:type="dxa"/>
              <w:bottom w:w="120" w:type="dxa"/>
              <w:right w:w="160" w:type="dxa"/>
            </w:tcMar>
          </w:tcPr>
          <w:p w14:paraId="6AA6433E" w14:textId="77777777" w:rsidR="007A704B" w:rsidRDefault="00000000">
            <w:pPr>
              <w:spacing w:after="60"/>
            </w:pPr>
            <w:r>
              <w:rPr>
                <w:rFonts w:ascii="Trebuchet MS" w:eastAsia="Trebuchet MS" w:hAnsi="Trebuchet MS" w:cs="Trebuchet MS"/>
                <w:b/>
                <w:bCs/>
                <w:color w:val="B7791F"/>
                <w:sz w:val="20"/>
                <w:szCs w:val="20"/>
              </w:rPr>
              <w:t>Critical timing note</w:t>
            </w:r>
          </w:p>
          <w:p w14:paraId="076EA207" w14:textId="77777777" w:rsidR="007A704B" w:rsidRDefault="00000000">
            <w:pPr>
              <w:jc w:val="both"/>
            </w:pPr>
            <w:r>
              <w:rPr>
                <w:color w:val="000000"/>
                <w:sz w:val="21"/>
                <w:szCs w:val="21"/>
              </w:rPr>
              <w:t>This agreement must exist before any public commitment is made to IIBA, the Guild, or Anthropic. It is the foundation of everything else. The commercial details -- revenue share rates, plugin pricing, distribution cycles -- are secondary to getting the structure right. Engage legal and accounting advice before this conversation reaches term-sheet stage with the associations.</w:t>
            </w:r>
          </w:p>
        </w:tc>
      </w:tr>
    </w:tbl>
    <w:p w14:paraId="5DF78179" w14:textId="77777777" w:rsidR="007A704B" w:rsidRDefault="007A704B">
      <w:pPr>
        <w:spacing w:before="80" w:after="80"/>
      </w:pPr>
    </w:p>
    <w:p w14:paraId="7B2EF50A" w14:textId="77777777" w:rsidR="007A704B" w:rsidRDefault="00000000">
      <w:pPr>
        <w:spacing w:before="80" w:after="80"/>
        <w:jc w:val="both"/>
      </w:pPr>
      <w:r>
        <w:rPr>
          <w:color w:val="000000"/>
        </w:rPr>
        <w:t>The commercial details of the revenue model -- share rates, distribution cycles, plugin pricing structures -- are deliberately left open in this document. Those are matters for negotiation once the structural and governance questions are settled. The priority at this stage is getting the Foundation structure right and presenting it to the associations as a clean, conflict-free proposition.</w:t>
      </w:r>
    </w:p>
    <w:p w14:paraId="537B8B06" w14:textId="77777777" w:rsidR="007A704B" w:rsidRDefault="007A704B">
      <w:pPr>
        <w:spacing w:before="160" w:after="80"/>
      </w:pPr>
    </w:p>
    <w:p w14:paraId="459151E7" w14:textId="77777777" w:rsidR="007A704B" w:rsidRDefault="00000000">
      <w:pPr>
        <w:pStyle w:val="Heading1"/>
      </w:pPr>
      <w:r>
        <w:t>6. Reference Case: The Apptio / TBM Council Model</w:t>
      </w:r>
    </w:p>
    <w:p w14:paraId="72FFD3E5" w14:textId="77777777" w:rsidR="007A704B" w:rsidRDefault="00000000">
      <w:pPr>
        <w:spacing w:before="80" w:after="80"/>
        <w:jc w:val="both"/>
      </w:pPr>
      <w:r>
        <w:rPr>
          <w:color w:val="000000"/>
        </w:rPr>
        <w:t>The PlausibleBA strategy is not without precedent. The Apptio / Technology Business Management Council model is the closest structural parallel in the enterprise software industry, and it offers both validation and specific lessons.</w:t>
      </w:r>
    </w:p>
    <w:p w14:paraId="5B70F53F" w14:textId="77777777" w:rsidR="007A704B" w:rsidRDefault="007A704B">
      <w:pPr>
        <w:spacing w:before="120" w:after="80"/>
      </w:pPr>
    </w:p>
    <w:p w14:paraId="177D51DF" w14:textId="77777777" w:rsidR="007A704B" w:rsidRDefault="00000000">
      <w:pPr>
        <w:pStyle w:val="Heading2"/>
      </w:pPr>
      <w:r>
        <w:t>6.1 What Apptio Did</w:t>
      </w:r>
    </w:p>
    <w:p w14:paraId="3DBAA5A3" w14:textId="77777777" w:rsidR="007A704B" w:rsidRDefault="00000000">
      <w:pPr>
        <w:spacing w:before="80" w:after="80"/>
        <w:jc w:val="both"/>
      </w:pPr>
      <w:r>
        <w:rPr>
          <w:color w:val="000000"/>
        </w:rPr>
        <w:t>Apptio founded the TBM Council out of its own biannual TBM Summits in 2012, positioning itself as the founder and technical advisor to what became an independent nonprofit community. The Council became the global hub for executives and practitioners dedicated to running technology like a business, stewarding the TBM ecosystem with thousands of members across major enterprises worldwide.</w:t>
      </w:r>
    </w:p>
    <w:p w14:paraId="3C713EF3" w14:textId="77777777" w:rsidR="007A704B" w:rsidRDefault="007A704B">
      <w:pPr>
        <w:spacing w:before="80" w:after="80"/>
      </w:pPr>
    </w:p>
    <w:p w14:paraId="5F88B6DC" w14:textId="77777777" w:rsidR="007A704B" w:rsidRDefault="00000000">
      <w:pPr>
        <w:spacing w:before="80" w:after="80"/>
        <w:jc w:val="both"/>
      </w:pPr>
      <w:r>
        <w:rPr>
          <w:color w:val="000000"/>
        </w:rPr>
        <w:t xml:space="preserve">The structural move was to separate the open standard from the commercial product completely. The TBM Taxonomy is governed and maintained by the TBM Council's Board Committee on Standards, with </w:t>
        <w:lastRenderedPageBreak/>
        <w:t>fifteen voting members drawn from organisations like MasterCard, ExxonMobil, Northrop Grumman, and Cisco. Apptio holds a non-voting seat on that committee alongside KPMG, ISG, and others. Apptio retains influence without controlling the standard.</w:t>
      </w:r>
    </w:p>
    <w:p w14:paraId="1ADBF3CF" w14:textId="77777777" w:rsidR="007A704B" w:rsidRDefault="007A704B">
      <w:pPr>
        <w:spacing w:before="80" w:after="80"/>
      </w:pPr>
    </w:p>
    <w:p w14:paraId="03251688" w14:textId="77777777" w:rsidR="007A704B" w:rsidRDefault="00000000">
      <w:pPr>
        <w:spacing w:before="80" w:after="80"/>
        <w:jc w:val="both"/>
      </w:pPr>
      <w:r>
        <w:rPr>
          <w:color w:val="000000"/>
        </w:rPr>
        <w:t>The commercial product — the Apptio TBM Unified Model (ATUM) — is ingrained in Apptio’s SaaS applications and incorporates the TBM Taxonomy. The taxonomy is community-owned and open. The software that implements it and generates the analytics that IT leaders use to make decisions is Apptio’s proprietary commercial product. Apptio was taken private by Vista Equity Partners in 2018 for approximately US$1.94 billion (transaction closed Q1 2019); IBM later acquired Apptio from Vista in 2023 for US$4.6 billion. The TBM Council remained an independent nonprofit through both transactions, validating the open-standard / proprietary-tooling separation at scale.</w:t>
      </w:r>
    </w:p>
    <w:p w14:paraId="40DE1A13" w14:textId="77777777" w:rsidR="007A704B" w:rsidRDefault="007A704B">
      <w:pPr>
        <w:spacing w:before="120" w:after="80"/>
      </w:pPr>
    </w:p>
    <w:p w14:paraId="239B2D5D" w14:textId="77777777" w:rsidR="007A704B" w:rsidRDefault="00000000">
      <w:pPr>
        <w:pStyle w:val="Heading2"/>
      </w:pPr>
      <w:r>
        <w:t>6.2 The Structural Parallel</w:t>
      </w:r>
    </w:p>
    <w:p w14:paraId="132806D4" w14:textId="77777777" w:rsidR="007A704B" w:rsidRDefault="00000000">
      <w:pPr>
        <w:spacing w:before="80" w:after="80"/>
        <w:jc w:val="both"/>
      </w:pPr>
      <w:r>
        <w:rPr>
          <w:color w:val="000000"/>
        </w:rPr>
        <w:t xml:space="preserve">The parallel to the PlausibleBA model is direct at the structural level — open standard creates category legitimacy; proprietary tooling captures enterprise value; professional community builds trust — but the analogy needs a calibration that the original v2.0 framing understated. The TBM Taxonomy is a management taxonomy and practice framework: a controlled vocabulary that Apptio’s tools and customers’ analytics teams use to speak the same language. CAPSICUM / JSON-LD / SHACL is a more ambitious construct: a formal metamodel and validation substrate, with constraints, deontic governance vocabulary, and a runtime that enforces them. PlausibleBA is therefore not copying a taxonomy-standard model. It is attempting a metamodel-platform model. That gives PlausibleBA more power but less adoption velocity than Apptio enjoyed; activation requires the practitioner-facing surfaces named in §3.1 (SDK, OpenAPI façade, import templates, visual authoring, plain-language validation reports), without which the formal contract risks being intellectually impressive but commercially under-activated.</w:t>
      </w:r>
    </w:p>
    <w:p w14:paraId="019AB5C8" w14:textId="77777777" w:rsidR="007A704B" w:rsidRDefault="007A704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704B" w14:paraId="72EEE0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F2044"/>
            <w:tcMar>
              <w:top w:w="80" w:type="dxa"/>
              <w:left w:w="120" w:type="dxa"/>
              <w:bottom w:w="80" w:type="dxa"/>
              <w:right w:w="120" w:type="dxa"/>
            </w:tcMar>
          </w:tcPr>
          <w:p w14:paraId="273C6711" w14:textId="77777777" w:rsidR="007A704B" w:rsidRDefault="00000000">
            <w:r>
              <w:rPr>
                <w:rFonts w:ascii="Trebuchet MS" w:eastAsia="Trebuchet MS" w:hAnsi="Trebuchet MS" w:cs="Trebuchet MS"/>
                <w:b/>
                <w:bCs/>
                <w:color w:val="FFFFFF"/>
                <w:sz w:val="20"/>
                <w:szCs w:val="20"/>
              </w:rPr>
              <w:t>Apptio / TBM Council</w:t>
            </w:r>
          </w:p>
        </w:tc>
        <w:tc>
          <w:tcPr>
            <w:tcW w:w="4680" w:type="dxa"/>
            <w:tcBorders>
              <w:top w:val="single" w:sz="1" w:space="0" w:color="CCCCCC"/>
              <w:left w:val="single" w:sz="1" w:space="0" w:color="CCCCCC"/>
              <w:bottom w:val="single" w:sz="1" w:space="0" w:color="CCCCCC"/>
              <w:right w:val="single" w:sz="1" w:space="0" w:color="CCCCCC"/>
            </w:tcBorders>
            <w:shd w:val="clear" w:color="auto" w:fill="1A5EA8"/>
            <w:tcMar>
              <w:top w:w="80" w:type="dxa"/>
              <w:left w:w="120" w:type="dxa"/>
              <w:bottom w:w="80" w:type="dxa"/>
              <w:right w:w="120" w:type="dxa"/>
            </w:tcMar>
          </w:tcPr>
          <w:p w14:paraId="534AAD80" w14:textId="77777777" w:rsidR="007A704B" w:rsidRDefault="00000000">
            <w:r>
              <w:rPr>
                <w:rFonts w:ascii="Trebuchet MS" w:eastAsia="Trebuchet MS" w:hAnsi="Trebuchet MS" w:cs="Trebuchet MS"/>
                <w:b/>
                <w:bCs/>
                <w:color w:val="FFFFFF"/>
                <w:sz w:val="20"/>
                <w:szCs w:val="20"/>
              </w:rPr>
              <w:t>PlausibleBA</w:t>
            </w:r>
          </w:p>
        </w:tc>
      </w:tr>
      <w:tr w:rsidR="007A704B" w14:paraId="689AF5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7C906" w14:textId="77777777" w:rsidR="007A704B" w:rsidRDefault="00000000">
            <w:r>
              <w:rPr>
                <w:color w:val="000000"/>
                <w:sz w:val="19"/>
                <w:szCs w:val="19"/>
              </w:rPr>
              <w:t>TBM Taxonomy -- open, Council-owned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DECB" w14:textId="77777777" w:rsidR="007A704B" w:rsidRDefault="00000000">
            <w:r>
              <w:rPr>
                <w:color w:val="000000"/>
                <w:sz w:val="19"/>
                <w:szCs w:val="19"/>
              </w:rPr>
              <w:t>PlausibleBA platform core -- open, Foundation-governed</w:t>
            </w:r>
          </w:p>
        </w:tc>
      </w:tr>
      <w:tr w:rsidR="007A704B" w14:paraId="68529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1BDC3931" w14:textId="77777777" w:rsidR="007A704B" w:rsidRDefault="00000000">
            <w:r>
              <w:rPr>
                <w:color w:val="000000"/>
                <w:sz w:val="19"/>
                <w:szCs w:val="19"/>
              </w:rPr>
              <w:t>TBM Council -- nonprofit standards body</w:t>
            </w:r>
          </w:p>
        </w:tc>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6A8AC272" w14:textId="77777777" w:rsidR="007A704B" w:rsidRDefault="00000000">
            <w:r>
              <w:rPr>
                <w:color w:val="000000"/>
                <w:sz w:val="19"/>
                <w:szCs w:val="19"/>
              </w:rPr>
              <w:t>PlausibleBA Foundation -- technical steering committee</w:t>
            </w:r>
          </w:p>
        </w:tc>
      </w:tr>
      <w:tr w:rsidR="007A704B" w14:paraId="03903F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CEE73" w14:textId="77777777" w:rsidR="007A704B" w:rsidRDefault="00000000">
            <w:r>
              <w:rPr>
                <w:color w:val="000000"/>
                <w:sz w:val="19"/>
                <w:szCs w:val="19"/>
              </w:rPr>
              <w:t>Apptio as Founder and Technical Advisor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48ADD" w14:textId="131EC17E" w:rsidR="007A704B" w:rsidRDefault="00A03314">
            <w:r>
              <w:rPr>
                <w:color w:val="000000"/>
                <w:sz w:val="19"/>
                <w:szCs w:val="19"/>
              </w:rPr>
              <w:t>PlausibleBA founder as Contributing Architect</w:t>
            </w:r>
          </w:p>
        </w:tc>
      </w:tr>
      <w:tr w:rsidR="007A704B" w14:paraId="6BEE72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4FDBAF05" w14:textId="77777777" w:rsidR="007A704B" w:rsidRDefault="00000000">
            <w:r>
              <w:rPr>
                <w:color w:val="000000"/>
                <w:sz w:val="19"/>
                <w:szCs w:val="19"/>
              </w:rPr>
              <w:t>ATUM ingrained in Apptio SaaS applications</w:t>
            </w:r>
          </w:p>
        </w:tc>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39D643A9" w14:textId="77777777" w:rsidR="007A704B" w:rsidRDefault="00000000">
            <w:r>
              <w:rPr>
                <w:color w:val="000000"/>
                <w:sz w:val="19"/>
                <w:szCs w:val="19"/>
              </w:rPr>
              <w:t>VCC scaffold engine as proprietary reference plugin</w:t>
            </w:r>
          </w:p>
        </w:tc>
      </w:tr>
      <w:tr w:rsidR="007A704B" w14:paraId="2008A2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EA137" w14:textId="77777777" w:rsidR="007A704B" w:rsidRDefault="00000000">
            <w:r>
              <w:rPr>
                <w:color w:val="000000"/>
                <w:sz w:val="19"/>
                <w:szCs w:val="19"/>
              </w:rPr>
              <w:t>Council taxonomy makes the market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8921" w14:textId="77777777" w:rsidR="007A704B" w:rsidRDefault="00000000">
            <w:r>
              <w:rPr>
                <w:color w:val="000000"/>
                <w:sz w:val="19"/>
                <w:szCs w:val="19"/>
              </w:rPr>
              <w:t>Open platform makes the market</w:t>
            </w:r>
          </w:p>
        </w:tc>
      </w:tr>
      <w:tr w:rsidR="007A704B" w14:paraId="70160E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0640E8D1" w14:textId="77777777" w:rsidR="007A704B" w:rsidRDefault="00000000">
            <w:r>
              <w:rPr>
                <w:color w:val="000000"/>
                <w:sz w:val="19"/>
                <w:szCs w:val="19"/>
              </w:rPr>
              <w:t>Apptio SaaS captures commercial value</w:t>
            </w:r>
          </w:p>
        </w:tc>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03305413" w14:textId="77777777" w:rsidR="007A704B" w:rsidRDefault="00000000">
            <w:r>
              <w:rPr>
                <w:color w:val="000000"/>
                <w:sz w:val="19"/>
                <w:szCs w:val="19"/>
              </w:rPr>
              <w:t>Proprietary plugins capture commercial value</w:t>
            </w:r>
          </w:p>
        </w:tc>
      </w:tr>
      <w:tr w:rsidR="007A704B" w14:paraId="03A269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2E05" w14:textId="77777777" w:rsidR="007A704B" w:rsidRDefault="00000000">
            <w:r>
              <w:rPr>
                <w:color w:val="000000"/>
                <w:sz w:val="19"/>
                <w:szCs w:val="19"/>
              </w:rPr>
              <w:t>Partner ecosystem -- KPMG, Deloitte, EY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2F96" w14:textId="77777777" w:rsidR="007A704B" w:rsidRDefault="00000000">
            <w:r>
              <w:rPr>
                <w:color w:val="000000"/>
                <w:sz w:val="19"/>
                <w:szCs w:val="19"/>
              </w:rPr>
              <w:t>Certified third-party plugin developers</w:t>
            </w:r>
          </w:p>
        </w:tc>
      </w:tr>
      <w:tr w:rsidR="007A704B" w14:paraId="3BFDDC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08A51694" w14:textId="77777777" w:rsidR="007A704B" w:rsidRDefault="00000000">
            <w:r>
              <w:rPr>
                <w:color w:val="000000"/>
                <w:sz w:val="19"/>
                <w:szCs w:val="19"/>
              </w:rPr>
              <w:t>TBM Summits as community activation</w:t>
            </w:r>
          </w:p>
        </w:tc>
        <w:tc>
          <w:tcPr>
            <w:tcW w:w="4680" w:type="dxa"/>
            <w:tcBorders>
              <w:top w:val="single" w:sz="1" w:space="0" w:color="CCCCCC"/>
              <w:left w:val="single" w:sz="1" w:space="0" w:color="CCCCCC"/>
              <w:bottom w:val="single" w:sz="1" w:space="0" w:color="CCCCCC"/>
              <w:right w:val="single" w:sz="1" w:space="0" w:color="CCCCCC"/>
            </w:tcBorders>
            <w:shd w:val="clear" w:color="auto" w:fill="E8EEF5"/>
            <w:tcMar>
              <w:top w:w="80" w:type="dxa"/>
              <w:left w:w="120" w:type="dxa"/>
              <w:bottom w:w="80" w:type="dxa"/>
              <w:right w:w="120" w:type="dxa"/>
            </w:tcMar>
          </w:tcPr>
          <w:p w14:paraId="405FF319" w14:textId="77777777" w:rsidR="007A704B" w:rsidRDefault="00000000">
            <w:r>
              <w:rPr>
                <w:color w:val="000000"/>
                <w:sz w:val="19"/>
                <w:szCs w:val="19"/>
              </w:rPr>
              <w:t>IIBA and Guild Musters as community activation</w:t>
            </w:r>
          </w:p>
        </w:tc>
      </w:tr>
    </w:tbl>
    <w:p w14:paraId="15113795" w14:textId="77777777" w:rsidR="007A704B" w:rsidRDefault="007A704B">
      <w:pPr>
        <w:spacing w:before="120" w:after="80"/>
      </w:pPr>
    </w:p>
    <w:p w14:paraId="508E0D8B" w14:textId="77777777" w:rsidR="007A704B" w:rsidRDefault="00000000">
      <w:pPr>
        <w:pStyle w:val="Heading2"/>
      </w:pPr>
      <w:r>
        <w:t>6.3 Four Lessons for PlausibleBA</w:t>
      </w:r>
    </w:p>
    <w:p w14:paraId="74AA7319" w14:textId="77777777" w:rsidR="007A704B" w:rsidRDefault="00000000">
      <w:pPr>
        <w:spacing w:before="80" w:after="80"/>
        <w:jc w:val="both"/>
      </w:pPr>
      <w:r>
        <w:rPr>
          <w:color w:val="000000"/>
        </w:rPr>
        <w:t>The Apptio case yields four lessons that should directly shape how PlausibleBA is structured and governed.</w:t>
      </w:r>
    </w:p>
    <w:p w14:paraId="4A0E6B9C" w14:textId="77777777" w:rsidR="007A704B" w:rsidRDefault="007A704B">
      <w:pPr>
        <w:spacing w:before="80" w:after="80"/>
      </w:pPr>
    </w:p>
    <w:p w14:paraId="26431E4F" w14:textId="77777777" w:rsidR="007A704B" w:rsidRDefault="00000000">
      <w:pPr>
        <w:spacing w:before="200" w:after="80"/>
      </w:pPr>
      <w:r>
        <w:rPr>
          <w:rFonts w:ascii="Trebuchet MS" w:eastAsia="Trebuchet MS" w:hAnsi="Trebuchet MS" w:cs="Trebuchet MS"/>
          <w:b/>
          <w:bCs/>
          <w:color w:val="2BBCD4"/>
        </w:rPr>
        <w:t>Lesson 1: The clean separation is the credibility</w:t>
      </w:r>
    </w:p>
    <w:p w14:paraId="77EE7FFB" w14:textId="77777777" w:rsidR="007A704B" w:rsidRDefault="00000000">
      <w:pPr>
        <w:spacing w:before="80" w:after="80"/>
        <w:jc w:val="both"/>
      </w:pPr>
      <w:r>
        <w:rPr>
          <w:color w:val="000000"/>
        </w:rPr>
        <w:t>Nobody could accuse Apptio of owning the TBM standard because the separation was genuine and visible. Apptio's non-voting seat on the standards committee was a deliberate signal. The PlausibleBA Foundation governance structure must make the same signal: the Founding Architect has influence over the platform's intellectual direction but does not control it. The open platform is genuinely open, and that must be demonstrable -- not just asserted.</w:t>
      </w:r>
    </w:p>
    <w:p w14:paraId="13B0C4BC" w14:textId="77777777" w:rsidR="007A704B" w:rsidRDefault="007A704B">
      <w:pPr>
        <w:spacing w:before="80" w:after="80"/>
      </w:pPr>
    </w:p>
    <w:p w14:paraId="7F782035" w14:textId="77777777" w:rsidR="007A704B" w:rsidRDefault="00000000">
      <w:pPr>
        <w:spacing w:before="200" w:after="80"/>
      </w:pPr>
      <w:r>
        <w:rPr>
          <w:rFonts w:ascii="Trebuchet MS" w:eastAsia="Trebuchet MS" w:hAnsi="Trebuchet MS" w:cs="Trebuchet MS"/>
          <w:b/>
          <w:bCs/>
          <w:color w:val="2BBCD4"/>
        </w:rPr>
        <w:t>Lesson 2: The standard makes the market; the product captures the value</w:t>
      </w:r>
    </w:p>
    <w:p w14:paraId="3E788F22" w14:textId="77777777" w:rsidR="007A704B" w:rsidRDefault="00000000">
      <w:pPr>
        <w:spacing w:before="80" w:after="80"/>
        <w:jc w:val="both"/>
      </w:pPr>
      <w:r>
        <w:rPr>
          <w:color w:val="000000"/>
        </w:rPr>
        <w:t xml:space="preserve">Apptio’s commercial moat was not different IP. It was the best implementation, the deepest enterprise integrations, and the strongest practitioner relationships. The TBM Taxonomy created a common language that created a market for tools speaking that language. Apptio built the best tools. For </w:t>
        <w:lastRenderedPageBreak/>
        <w:t xml:space="preserve">PlausibleBA, the open platform creates the common operating model language for the agentic enterprise. The proprietary plugins — the VCC scaffold engine and the entitlements specification engine — capture the commercial value, but the durable moat is broader than the plugins themselves. “Best LLM-driven generator of a public spec” will commoditise as model capabilities improve. The defensible moat is a layered combination: reference-grade methodology (PPIT, AES enrichment, decision-surface design), curated reference datasets and benchmark evidence, association-certified content partnerships, and the entitlements specification engine’s grounding in CAPSICUM’s formal governance kernel (closer to the research IP than to commodity generation). The platform grows the market; the proprietary plugins plus methodology plus certification regime plus benchmark evidence capture the commercial value.</w:t>
      </w:r>
    </w:p>
    <w:p w14:paraId="3217EB30" w14:textId="77777777" w:rsidR="007A704B" w:rsidRDefault="007A704B">
      <w:pPr>
        <w:spacing w:before="80" w:after="80"/>
      </w:pPr>
    </w:p>
    <w:p w14:paraId="5AA65020" w14:textId="77777777" w:rsidR="007A704B" w:rsidRDefault="00000000">
      <w:pPr>
        <w:spacing w:before="200" w:after="80"/>
      </w:pPr>
      <w:r>
        <w:rPr>
          <w:rFonts w:ascii="Trebuchet MS" w:eastAsia="Trebuchet MS" w:hAnsi="Trebuchet MS" w:cs="Trebuchet MS"/>
          <w:b/>
          <w:bCs/>
          <w:color w:val="2BBCD4"/>
        </w:rPr>
        <w:t>Lesson 3: Community events are not optional</w:t>
      </w:r>
    </w:p>
    <w:p w14:paraId="395CC49A" w14:textId="77777777" w:rsidR="007A704B" w:rsidRDefault="00000000">
      <w:pPr>
        <w:spacing w:before="80" w:after="80"/>
        <w:jc w:val="both"/>
      </w:pPr>
      <w:r>
        <w:rPr>
          <w:color w:val="000000"/>
        </w:rPr>
        <w:t>The TBM Summits were the origin of the Council and remained central to Apptio's market position throughout its growth. The IIBA and Guild Musters are the equivalent activation vehicle -- where practitioners experience the platform, certified content is launched, plugin developers find early adopters, and the Anthropic partnership becomes visible to the practitioner community. Treating the Musters as marketing events undersells them. They are community infrastructure.</w:t>
      </w:r>
    </w:p>
    <w:p w14:paraId="36EF0DC8" w14:textId="77777777" w:rsidR="007A704B" w:rsidRDefault="007A704B">
      <w:pPr>
        <w:spacing w:before="80" w:after="80"/>
      </w:pPr>
    </w:p>
    <w:p w14:paraId="0BF0703A" w14:textId="77777777" w:rsidR="007A704B" w:rsidRDefault="00000000">
      <w:pPr>
        <w:spacing w:before="200" w:after="80"/>
      </w:pPr>
      <w:r>
        <w:rPr>
          <w:rFonts w:ascii="Trebuchet MS" w:eastAsia="Trebuchet MS" w:hAnsi="Trebuchet MS" w:cs="Trebuchet MS"/>
          <w:b/>
          <w:bCs/>
          <w:color w:val="2BBCD4"/>
        </w:rPr>
        <w:t>Lesson 4: Plan for acquisition from the start</w:t>
      </w:r>
    </w:p>
    <w:p w14:paraId="220E07E3" w14:textId="77777777" w:rsidR="007A704B" w:rsidRDefault="00000000">
      <w:pPr>
        <w:spacing w:before="80" w:after="80"/>
        <w:jc w:val="both"/>
      </w:pPr>
      <w:r>
        <w:rPr>
          <w:color w:val="000000"/>
        </w:rPr>
        <w:t>Apptio’s sequential ownership changes — first to Vista Equity Partners in 2018, then to IBM in 2023 — raised real questions about community governance when the founding commercial entity is absorbed into a larger corporate. The TBM Council’s nonprofit structure provided some protection, but the relationship became more complicated than the original arrangement. The PlausibleBA Foundation governance agreement should explicitly address what happens to the open platform and Foundation independence if the originating architect’s commercial applications are acquired. The Foundation’s ownership of the open platform core must be unambiguous and not contingent on the originating architect’s continued independence.</w:t>
      </w:r>
    </w:p>
    <w:p w14:paraId="0F514664" w14:textId="77777777" w:rsidR="007A704B" w:rsidRDefault="007A704B">
      <w:pPr>
        <w:spacing w:before="160" w:after="80"/>
      </w:pPr>
    </w:p>
    <w:p w14:paraId="3C062346" w14:textId="77777777" w:rsidR="007A704B" w:rsidRDefault="00000000">
      <w:pPr>
        <w:pStyle w:val="Heading1"/>
      </w:pPr>
      <w:r>
        <w:t>7. The Anthropic Dimension</w:t>
      </w:r>
    </w:p>
    <w:p w14:paraId="52841011" w14:textId="7114344F" w:rsidR="007A704B" w:rsidRDefault="00000000">
      <w:pPr>
        <w:spacing w:before="80" w:after="80"/>
        <w:jc w:val="both"/>
      </w:pPr>
      <w:r>
        <w:rPr>
          <w:color w:val="000000"/>
        </w:rPr>
        <w:t>PlausibleBA as an open-source platform built on Claude is a distinctive and defensible position in the Anthropic partner ecosystem. No other partner is positioned to offer this combination.</w:t>
      </w:r>
    </w:p>
    <w:p w14:paraId="2F693BA3" w14:textId="77777777" w:rsidR="007A704B" w:rsidRDefault="007A704B">
      <w:pPr>
        <w:spacing w:before="60" w:after="40"/>
      </w:pPr>
    </w:p>
    <w:p w14:paraId="73219F6C" w14:textId="20C73246" w:rsidR="007A704B" w:rsidRDefault="00000000">
      <w:pPr>
        <w:pStyle w:val="ListParagraph"/>
        <w:numPr>
          <w:ilvl w:val="0"/>
          <w:numId w:val="2"/>
        </w:numPr>
        <w:spacing w:before="60" w:after="60"/>
      </w:pPr>
      <w:r>
        <w:rPr>
          <w:color w:val="000000"/>
        </w:rPr>
        <w:t>An open-source platform governed by the standards bodies for BA and BizArch -- the practitioners who decide what gets automated in enterprise organisations</w:t>
      </w:r>
    </w:p>
    <w:p w14:paraId="6BEDEFD0" w14:textId="77777777" w:rsidR="007A704B" w:rsidRDefault="00000000">
      <w:pPr>
        <w:pStyle w:val="ListParagraph"/>
        <w:numPr>
          <w:ilvl w:val="0"/>
          <w:numId w:val="2"/>
        </w:numPr>
        <w:spacing w:before="60" w:after="60"/>
      </w:pPr>
      <w:r>
        <w:rPr>
          <w:color w:val="000000"/>
        </w:rPr>
        <w:t>A certified content ecosystem that organisations subscribe to through their professional associations, creating a recurring revenue model that Anthropic can point to as evidence of ecosystem health</w:t>
      </w:r>
    </w:p>
    <w:p w14:paraId="2215E8E3" w14:textId="77777777" w:rsidR="007A704B" w:rsidRDefault="00000000">
      <w:pPr>
        <w:pStyle w:val="ListParagraph"/>
        <w:numPr>
          <w:ilvl w:val="0"/>
          <w:numId w:val="2"/>
        </w:numPr>
        <w:spacing w:before="60" w:after="60"/>
      </w:pPr>
      <w:r>
        <w:rPr>
          <w:color w:val="000000"/>
        </w:rPr>
        <w:t>A research programme that produces academically grounded outputs feeding directly into the platform -- durability that consulting deliverables cannot match</w:t>
      </w:r>
    </w:p>
    <w:p w14:paraId="3D941CB7" w14:textId="77777777" w:rsidR="007A704B" w:rsidRDefault="00000000">
      <w:pPr>
        <w:pStyle w:val="ListParagraph"/>
        <w:numPr>
          <w:ilvl w:val="0"/>
          <w:numId w:val="2"/>
        </w:numPr>
        <w:spacing w:before="60" w:after="60"/>
      </w:pPr>
      <w:r>
        <w:rPr>
          <w:color w:val="000000"/>
        </w:rPr>
        <w:t>A global practitioner community that is both a deployment channel for Claude in enterprise contexts and a study population for workforce transition research relevant to the Anthropic Institute</w:t>
      </w:r>
    </w:p>
    <w:p w14:paraId="761E608F" w14:textId="77777777" w:rsidR="007A704B" w:rsidRDefault="007A704B">
      <w:pPr>
        <w:spacing w:before="80" w:after="80"/>
      </w:pPr>
    </w:p>
    <w:p w14:paraId="066B441D" w14:textId="66DFE9EE" w:rsidR="007A704B" w:rsidRDefault="00000000">
      <w:pPr>
        <w:spacing w:before="80" w:after="80"/>
        <w:jc w:val="both"/>
      </w:pPr>
      <w:r>
        <w:rPr>
          <w:color w:val="000000"/>
        </w:rPr>
        <w:t>The open-source launch of PlausibleBA should be coordinated with the Anthropic Partner Network certification milestone. The moment Anthropic gives the green light for a public announcement, the PlausibleBA open-source launch becomes part of that story -- not a separate event.</w:t>
      </w:r>
    </w:p>
    <w:p w14:paraId="5C20D13E" w14:textId="77777777" w:rsidR="007A704B" w:rsidRDefault="007A704B">
      <w:pPr>
        <w:spacing w:before="160" w:after="80"/>
      </w:pPr>
    </w:p>
    <w:p w14:paraId="72082704" w14:textId="77777777" w:rsidR="007A704B" w:rsidRDefault="00000000">
      <w:pPr>
        <w:pStyle w:val="Heading1"/>
      </w:pPr>
      <w:r>
        <w:lastRenderedPageBreak/>
        <w:t>8. Immediate Next Steps</w:t>
      </w:r>
    </w:p>
    <w:p w14:paraId="3DCDA915" w14:textId="1DEC2093" w:rsidR="007A704B" w:rsidRDefault="00000000">
      <w:pPr>
        <w:spacing w:before="80" w:after="80"/>
        <w:jc w:val="both"/>
      </w:pPr>
      <w:r>
        <w:rPr>
          <w:color w:val="000000"/>
        </w:rPr>
        <w:t>The open-source strategy requires the following actions before any public commitment is made.</w:t>
      </w:r>
    </w:p>
    <w:p w14:paraId="15DC625F" w14:textId="77777777" w:rsidR="007A704B" w:rsidRDefault="007A704B">
      <w:pPr>
        <w:spacing w:before="80" w:after="80"/>
      </w:pPr>
    </w:p>
    <w:p w14:paraId="42B6A4E3" w14:textId="2E0BF9A9" w:rsidR="007A704B" w:rsidRDefault="00000000">
      <w:pPr>
        <w:pStyle w:val="ListParagraph"/>
        <w:numPr>
          <w:ilvl w:val="0"/>
          <w:numId w:val="3"/>
        </w:numPr>
        <w:spacing w:before="80" w:after="80"/>
      </w:pPr>
      <w:r>
        <w:rPr>
          <w:color w:val="000000"/>
        </w:rPr>
        <w:t>Founding IP agreement discussion with Asif Gill at UTS. Establish the royalty arrangement, IP provenance, Foundation revenue shares, and licence terms between Terry Roach, UTS, IIBA, and the Guild. This is the critical path item.</w:t>
      </w:r>
    </w:p>
    <w:p w14:paraId="73E07227" w14:textId="1455275D" w:rsidR="007A704B" w:rsidRDefault="00000000">
      <w:pPr>
        <w:pStyle w:val="ListParagraph"/>
        <w:numPr>
          <w:ilvl w:val="0"/>
          <w:numId w:val="3"/>
        </w:numPr>
        <w:spacing w:before="80" w:after="80"/>
      </w:pPr>
      <w:r>
        <w:rPr>
          <w:color w:val="000000"/>
        </w:rPr>
        <w:t>License selection. Engage a technology lawyer to draft the source-available community licence and the commercial plugin licence framework.</w:t>
      </w:r>
    </w:p>
    <w:p w14:paraId="04882C45" w14:textId="63C57C4E" w:rsidR="007A704B" w:rsidRDefault="00000000">
      <w:pPr>
        <w:pStyle w:val="ListParagraph"/>
        <w:numPr>
          <w:ilvl w:val="0"/>
          <w:numId w:val="3"/>
        </w:numPr>
        <w:spacing w:before="80" w:after="80"/>
      </w:pPr>
      <w:r>
        <w:rPr>
          <w:color w:val="000000"/>
        </w:rPr>
        <w:t>PlausibleBA Foundation governance agreement. Draft the technical steering committee terms of reference, the Foundation staffing model, and the revenue share rates. Have them agreed by all four parties.</w:t>
      </w:r>
    </w:p>
    <w:p w14:paraId="77170E55" w14:textId="0879F74F" w:rsidR="007A704B" w:rsidRDefault="00000000">
      <w:pPr>
        <w:pStyle w:val="ListParagraph"/>
        <w:numPr>
          <w:ilvl w:val="0"/>
          <w:numId w:val="3"/>
        </w:numPr>
        <w:spacing w:before="80" w:after="80"/>
      </w:pPr>
      <w:r>
        <w:rPr>
          <w:color w:val="000000"/>
        </w:rPr>
        <w:t>Platform architecture decision. Determine which components of the current VCC and PlausibleBA codebase form the open-source core, which become the reference plugin implementations, and which remain outside the ecosystem entirely.</w:t>
      </w:r>
    </w:p>
    <w:p w14:paraId="4A8DC6B8" w14:textId="67DF99A3" w:rsidR="007A704B" w:rsidRDefault="00000000">
      <w:pPr>
        <w:pStyle w:val="ListParagraph"/>
        <w:numPr>
          <w:ilvl w:val="0"/>
          <w:numId w:val="3"/>
        </w:numPr>
        <w:spacing w:before="80" w:after="80"/>
      </w:pPr>
      <w:r>
        <w:rPr>
          <w:color w:val="000000"/>
        </w:rPr>
        <w:t>Plugin certification framework. Develop the technical, quality, content, and commercial standards that plugins must meet before listing. The reference implementations should be the first to go through certification as a proof of process.</w:t>
      </w:r>
    </w:p>
    <w:p w14:paraId="3C0D53A4" w14:textId="48CD8DEE" w:rsidR="007A704B" w:rsidRDefault="00000000">
      <w:pPr>
        <w:pStyle w:val="ListParagraph"/>
        <w:numPr>
          <w:ilvl w:val="0"/>
          <w:numId w:val="3"/>
        </w:numPr>
        <w:spacing w:before="80" w:after="80"/>
      </w:pPr>
      <w:r>
        <w:rPr>
          <w:color w:val="000000"/>
        </w:rPr>
        <w:t>Developer programme. Establish the developer relations infrastructure -- documentation, sandbox environment, certification pathway, and marketplace onboarding -- before opening the ecosystem to third parties.</w:t>
      </w:r>
    </w:p>
    <w:p w14:paraId="664E8967" w14:textId="35185E99" w:rsidR="007A704B" w:rsidRDefault="00000000">
      <w:pPr>
        <w:pStyle w:val="ListParagraph"/>
        <w:numPr>
          <w:ilvl w:val="0"/>
          <w:numId w:val="3"/>
        </w:numPr>
        <w:spacing w:before="80" w:after="80"/>
      </w:pPr>
      <w:r>
        <w:rPr>
          <w:color w:val="000000"/>
        </w:rPr>
        <w:t>Staged launch plan. Develop a launch sequence that coordinates the open-source release with the Anthropic partner announcement, the research programme Stage 1 output, and the first association content pack.</w:t>
      </w:r>
    </w:p>
    <w:p w14:paraId="6DFA118D" w14:textId="77777777" w:rsidR="007A704B" w:rsidRDefault="007A704B">
      <w:pPr>
        <w:spacing w:before="160" w:after="80"/>
      </w:pPr>
    </w:p>
    <w:p w14:paraId="2D8045F6" w14:textId="77777777" w:rsidR="007A704B" w:rsidRDefault="007A704B">
      <w:pPr>
        <w:pBdr>
          <w:bottom w:val="single" w:sz="10" w:space="1" w:color="0F2044"/>
        </w:pBdr>
        <w:spacing w:after="160"/>
      </w:pPr>
    </w:p>
    <w:p w14:paraId="2D08ABE3" w14:textId="77777777" w:rsidR="007A704B" w:rsidRDefault="007A704B">
      <w:pPr>
        <w:spacing w:before="80" w:after="40"/>
      </w:pPr>
    </w:p>
    <w:p w14:paraId="1B67DE5F" w14:textId="77777777" w:rsidR="00F465D3" w:rsidRDefault="00F465D3">
      <w:pPr>
        <w:spacing w:before="80" w:after="40"/>
      </w:pPr>
    </w:p>
    <w:p w14:paraId="491C9A41" w14:textId="77777777" w:rsidR="00F465D3" w:rsidRDefault="00F465D3">
      <w:pPr>
        <w:spacing w:before="80" w:after="40"/>
      </w:pPr>
    </w:p>
    <w:p w14:paraId="38347531" w14:textId="77777777" w:rsidR="00F465D3" w:rsidRDefault="00F465D3">
      <w:pPr>
        <w:spacing w:before="80" w:after="40"/>
      </w:pPr>
    </w:p>
    <w:p w14:paraId="1735508C" w14:textId="77777777" w:rsidR="00F465D3" w:rsidRDefault="00F465D3">
      <w:pPr>
        <w:spacing w:before="80" w:after="40"/>
      </w:pPr>
    </w:p>
    <w:p w14:paraId="3B71B6C7" w14:textId="77777777" w:rsidR="00F465D3" w:rsidRDefault="00F465D3">
      <w:pPr>
        <w:spacing w:before="80" w:after="40"/>
      </w:pPr>
    </w:p>
    <w:p w14:paraId="362B29C5" w14:textId="77777777" w:rsidR="00F465D3" w:rsidRDefault="00F465D3">
      <w:pPr>
        <w:spacing w:before="80" w:after="40"/>
      </w:pPr>
    </w:p>
    <w:p w14:paraId="40B6DBD0" w14:textId="60D7D8A6" w:rsidR="007A704B" w:rsidRDefault="00000000">
      <w:pPr>
        <w:spacing w:before="80" w:after="120"/>
        <w:jc w:val="both"/>
      </w:pPr>
      <w:r>
        <w:rPr>
          <w:i/>
          <w:iCs/>
          <w:color w:val="595959"/>
        </w:rPr>
        <w:t>PlausibleBA is not a defensive move for a profession under pressure. It is an assertive claim that the practitioner communities who understand enterprise purpose, friction, and governance are the right stewards of the platform that governs how the agentic enterprise operates. The open-source strategy is how that claim becomes infrastructure.</w:t>
      </w:r>
    </w:p>
    <w:p w14:paraId="421B84D1" w14:textId="77777777" w:rsidR="007A704B" w:rsidRDefault="007A704B">
      <w:pPr>
        <w:spacing w:before="40" w:after="40"/>
      </w:pPr>
    </w:p>
    <w:p w14:paraId="34C31FFE" w14:textId="77777777" w:rsidR="007A704B" w:rsidRDefault="00000000">
      <w:pPr>
        <w:jc w:val="center"/>
      </w:pPr>
      <w:r>
        <w:rPr>
          <w:color w:val="595959"/>
          <w:sz w:val="20"/>
          <w:szCs w:val="20"/>
        </w:rPr>
        <w:t>Dr Terry Roach  |  UTS Research Fellow  |  IIBA Chairperson  |  terry.roach@uts.edu.au</w:t>
      </w:r>
    </w:p>
    <w:sectPr w:rsidR="007A704B">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89A"/>
    <w:multiLevelType w:val="hybridMultilevel"/>
    <w:tmpl w:val="07464BE2"/>
    <w:lvl w:ilvl="0" w:tplc="A4E2157A">
      <w:start w:val="1"/>
      <w:numFmt w:val="decimal"/>
      <w:lvlText w:val="%1."/>
      <w:lvlJc w:val="left"/>
      <w:pPr>
        <w:ind w:left="720" w:hanging="360"/>
      </w:pPr>
    </w:lvl>
    <w:lvl w:ilvl="1" w:tplc="3C167BDA">
      <w:numFmt w:val="decimal"/>
      <w:lvlText w:val=""/>
      <w:lvlJc w:val="left"/>
    </w:lvl>
    <w:lvl w:ilvl="2" w:tplc="E90627E0">
      <w:numFmt w:val="decimal"/>
      <w:lvlText w:val=""/>
      <w:lvlJc w:val="left"/>
    </w:lvl>
    <w:lvl w:ilvl="3" w:tplc="FFFCF5E6">
      <w:numFmt w:val="decimal"/>
      <w:lvlText w:val=""/>
      <w:lvlJc w:val="left"/>
    </w:lvl>
    <w:lvl w:ilvl="4" w:tplc="03C02A1A">
      <w:numFmt w:val="decimal"/>
      <w:lvlText w:val=""/>
      <w:lvlJc w:val="left"/>
    </w:lvl>
    <w:lvl w:ilvl="5" w:tplc="AE06B170">
      <w:numFmt w:val="decimal"/>
      <w:lvlText w:val=""/>
      <w:lvlJc w:val="left"/>
    </w:lvl>
    <w:lvl w:ilvl="6" w:tplc="82349282">
      <w:numFmt w:val="decimal"/>
      <w:lvlText w:val=""/>
      <w:lvlJc w:val="left"/>
    </w:lvl>
    <w:lvl w:ilvl="7" w:tplc="E856B7B4">
      <w:numFmt w:val="decimal"/>
      <w:lvlText w:val=""/>
      <w:lvlJc w:val="left"/>
    </w:lvl>
    <w:lvl w:ilvl="8" w:tplc="1A941454">
      <w:numFmt w:val="decimal"/>
      <w:lvlText w:val=""/>
      <w:lvlJc w:val="left"/>
    </w:lvl>
  </w:abstractNum>
  <w:abstractNum w:abstractNumId="1" w15:restartNumberingAfterBreak="0">
    <w:nsid w:val="42C707B3"/>
    <w:multiLevelType w:val="hybridMultilevel"/>
    <w:tmpl w:val="258E2180"/>
    <w:lvl w:ilvl="0" w:tplc="A6605F34">
      <w:start w:val="1"/>
      <w:numFmt w:val="bullet"/>
      <w:lvlText w:val="•"/>
      <w:lvlJc w:val="left"/>
      <w:pPr>
        <w:ind w:left="720" w:hanging="360"/>
      </w:pPr>
    </w:lvl>
    <w:lvl w:ilvl="1" w:tplc="A828B604">
      <w:numFmt w:val="decimal"/>
      <w:lvlText w:val=""/>
      <w:lvlJc w:val="left"/>
    </w:lvl>
    <w:lvl w:ilvl="2" w:tplc="609E18AC">
      <w:numFmt w:val="decimal"/>
      <w:lvlText w:val=""/>
      <w:lvlJc w:val="left"/>
    </w:lvl>
    <w:lvl w:ilvl="3" w:tplc="C6D437DE">
      <w:numFmt w:val="decimal"/>
      <w:lvlText w:val=""/>
      <w:lvlJc w:val="left"/>
    </w:lvl>
    <w:lvl w:ilvl="4" w:tplc="93D610E8">
      <w:numFmt w:val="decimal"/>
      <w:lvlText w:val=""/>
      <w:lvlJc w:val="left"/>
    </w:lvl>
    <w:lvl w:ilvl="5" w:tplc="D1F8903C">
      <w:numFmt w:val="decimal"/>
      <w:lvlText w:val=""/>
      <w:lvlJc w:val="left"/>
    </w:lvl>
    <w:lvl w:ilvl="6" w:tplc="F050C598">
      <w:numFmt w:val="decimal"/>
      <w:lvlText w:val=""/>
      <w:lvlJc w:val="left"/>
    </w:lvl>
    <w:lvl w:ilvl="7" w:tplc="1576A354">
      <w:numFmt w:val="decimal"/>
      <w:lvlText w:val=""/>
      <w:lvlJc w:val="left"/>
    </w:lvl>
    <w:lvl w:ilvl="8" w:tplc="71BA804C">
      <w:numFmt w:val="decimal"/>
      <w:lvlText w:val=""/>
      <w:lvlJc w:val="left"/>
    </w:lvl>
  </w:abstractNum>
  <w:abstractNum w:abstractNumId="2" w15:restartNumberingAfterBreak="0">
    <w:nsid w:val="753675E2"/>
    <w:multiLevelType w:val="hybridMultilevel"/>
    <w:tmpl w:val="B54E10E2"/>
    <w:lvl w:ilvl="0" w:tplc="25520EC0">
      <w:start w:val="1"/>
      <w:numFmt w:val="bullet"/>
      <w:lvlText w:val="●"/>
      <w:lvlJc w:val="left"/>
      <w:pPr>
        <w:ind w:left="720" w:hanging="360"/>
      </w:pPr>
    </w:lvl>
    <w:lvl w:ilvl="1" w:tplc="302A3876">
      <w:start w:val="1"/>
      <w:numFmt w:val="bullet"/>
      <w:lvlText w:val="○"/>
      <w:lvlJc w:val="left"/>
      <w:pPr>
        <w:ind w:left="1440" w:hanging="360"/>
      </w:pPr>
    </w:lvl>
    <w:lvl w:ilvl="2" w:tplc="655CF728">
      <w:start w:val="1"/>
      <w:numFmt w:val="bullet"/>
      <w:lvlText w:val="■"/>
      <w:lvlJc w:val="left"/>
      <w:pPr>
        <w:ind w:left="2160" w:hanging="360"/>
      </w:pPr>
    </w:lvl>
    <w:lvl w:ilvl="3" w:tplc="761EE872">
      <w:start w:val="1"/>
      <w:numFmt w:val="bullet"/>
      <w:lvlText w:val="●"/>
      <w:lvlJc w:val="left"/>
      <w:pPr>
        <w:ind w:left="2880" w:hanging="360"/>
      </w:pPr>
    </w:lvl>
    <w:lvl w:ilvl="4" w:tplc="F5E2706E">
      <w:start w:val="1"/>
      <w:numFmt w:val="bullet"/>
      <w:lvlText w:val="○"/>
      <w:lvlJc w:val="left"/>
      <w:pPr>
        <w:ind w:left="3600" w:hanging="360"/>
      </w:pPr>
    </w:lvl>
    <w:lvl w:ilvl="5" w:tplc="BC7A0E14">
      <w:start w:val="1"/>
      <w:numFmt w:val="bullet"/>
      <w:lvlText w:val="■"/>
      <w:lvlJc w:val="left"/>
      <w:pPr>
        <w:ind w:left="4320" w:hanging="360"/>
      </w:pPr>
    </w:lvl>
    <w:lvl w:ilvl="6" w:tplc="69D45486">
      <w:start w:val="1"/>
      <w:numFmt w:val="bullet"/>
      <w:lvlText w:val="●"/>
      <w:lvlJc w:val="left"/>
      <w:pPr>
        <w:ind w:left="5040" w:hanging="360"/>
      </w:pPr>
    </w:lvl>
    <w:lvl w:ilvl="7" w:tplc="0A7A66E0">
      <w:start w:val="1"/>
      <w:numFmt w:val="bullet"/>
      <w:lvlText w:val="●"/>
      <w:lvlJc w:val="left"/>
      <w:pPr>
        <w:ind w:left="5760" w:hanging="360"/>
      </w:pPr>
    </w:lvl>
    <w:lvl w:ilvl="8" w:tplc="F7D2C4A2">
      <w:start w:val="1"/>
      <w:numFmt w:val="bullet"/>
      <w:lvlText w:val="●"/>
      <w:lvlJc w:val="left"/>
      <w:pPr>
        <w:ind w:left="6480" w:hanging="360"/>
      </w:pPr>
    </w:lvl>
  </w:abstractNum>
  <w:num w:numId="1" w16cid:durableId="381638833">
    <w:abstractNumId w:val="2"/>
    <w:lvlOverride w:ilvl="0">
      <w:startOverride w:val="1"/>
    </w:lvlOverride>
  </w:num>
  <w:num w:numId="2" w16cid:durableId="2129273052">
    <w:abstractNumId w:val="1"/>
    <w:lvlOverride w:ilvl="0">
      <w:startOverride w:val="1"/>
    </w:lvlOverride>
  </w:num>
  <w:num w:numId="3" w16cid:durableId="1480030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4B"/>
    <w:rsid w:val="000A55E3"/>
    <w:rsid w:val="00364E15"/>
    <w:rsid w:val="00376308"/>
    <w:rsid w:val="00430229"/>
    <w:rsid w:val="004A5CB0"/>
    <w:rsid w:val="0062456F"/>
    <w:rsid w:val="007A704B"/>
    <w:rsid w:val="00A03314"/>
    <w:rsid w:val="00DF230C"/>
    <w:rsid w:val="00F465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3CB9FD3"/>
  <w15:docId w15:val="{3A6CA8E7-5B82-324E-B097-FF1333468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Trebuchet MS" w:eastAsia="Trebuchet MS" w:hAnsi="Trebuchet MS" w:cs="Trebuchet MS"/>
      <w:b/>
      <w:bCs/>
      <w:color w:val="0F2044"/>
      <w:sz w:val="36"/>
      <w:szCs w:val="36"/>
    </w:rPr>
  </w:style>
  <w:style w:type="paragraph" w:styleId="Heading2">
    <w:name w:val="heading 2"/>
    <w:uiPriority w:val="9"/>
    <w:unhideWhenUsed/>
    <w:qFormat/>
    <w:pPr>
      <w:spacing w:before="280" w:after="120"/>
      <w:outlineLvl w:val="1"/>
    </w:pPr>
    <w:rPr>
      <w:rFonts w:ascii="Trebuchet MS" w:eastAsia="Trebuchet MS" w:hAnsi="Trebuchet MS" w:cs="Trebuchet MS"/>
      <w:b/>
      <w:bCs/>
      <w:color w:val="1A5E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4933</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Terry Roach</cp:lastModifiedBy>
  <cp:revision>5</cp:revision>
  <dcterms:created xsi:type="dcterms:W3CDTF">2026-04-29T01:42:00Z</dcterms:created>
  <dcterms:modified xsi:type="dcterms:W3CDTF">2026-04-29T02:36:00Z</dcterms:modified>
</cp:coreProperties>
</file>