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color w:val="1F3864"/>
          <w:sz w:val="56"/>
          <w:szCs w:val="56"/>
        </w:rPr>
        <w:t xml:space="preserve">VCC Design Specification</w:t>
      </w:r>
    </w:p>
    <w:p>
      <w:pPr>
        <w:spacing w:after="400"/>
        <w:jc w:val="center"/>
      </w:pPr>
      <w:r>
        <w:rPr>
          <w:rFonts w:ascii="Arial" w:cs="Arial" w:eastAsia="Arial" w:hAnsi="Arial"/>
          <w:color w:val="2E75B6"/>
          <w:sz w:val="36"/>
          <w:szCs w:val="36"/>
        </w:rPr>
        <w:t xml:space="preserve">Model Enrichment &amp; Diagnostic Refactoring</w:t>
      </w:r>
    </w:p>
    <w:p>
      <w:pPr>
        <w:pBdr>
          <w:top w:val="single" w:color="2E75B6" w:sz="6" w:space="12"/>
        </w:pBdr>
        <w:spacing w:after="200" w:before="200"/>
        <w:jc w:val="center"/>
      </w:pPr>
      <w:r>
        <w:rPr>
          <w:color w:val="666666"/>
          <w:sz w:val="24"/>
          <w:szCs w:val="24"/>
        </w:rPr>
        <w:t xml:space="preserve">v0.5.0 Architecture Proposal</w:t>
      </w:r>
    </w:p>
    <w:p>
      <w:pPr>
        <w:spacing w:after="60"/>
        <w:jc w:val="center"/>
      </w:pPr>
      <w:r>
        <w:rPr>
          <w:color w:val="444444"/>
          <w:sz w:val="22"/>
          <w:szCs w:val="22"/>
        </w:rPr>
        <w:t xml:space="preserve">Prepared for: Terry Roach</w:t>
      </w:r>
    </w:p>
    <w:p>
      <w:pPr>
        <w:spacing w:after="60"/>
        <w:jc w:val="center"/>
      </w:pPr>
      <w:r>
        <w:rPr>
          <w:color w:val="444444"/>
          <w:sz w:val="22"/>
          <w:szCs w:val="22"/>
        </w:rPr>
        <w:t xml:space="preserve">Date: 31 March 2026</w:t>
      </w:r>
    </w:p>
    <w:p>
      <w:pPr>
        <w:jc w:val="center"/>
      </w:pPr>
      <w:r>
        <w:rPr>
          <w:color w:val="444444"/>
          <w:sz w:val="22"/>
          <w:szCs w:val="22"/>
        </w:rPr>
        <w:t xml:space="preserve">Status: Draft for SPAR Review</w:t>
      </w:r>
    </w:p>
    <w:p>
      <w:pPr>
        <w:sectPr>
          <w:pgSz w:w="12240" w:h="15840" w:orient="portrait"/>
          <w:pgMar w:top="3600" w:right="1440" w:bottom="1440" w:left="1440" w:header="708" w:footer="708" w:gutter="0"/>
          <w:pgNumType/>
          <w:docGrid w:linePitch="360"/>
        </w:sectPr>
      </w:pPr>
    </w:p>
    <w:p>
      <w:pPr>
        <w:pStyle w:val="Heading1"/>
      </w:pPr>
      <w:r>
        <w:t xml:space="preserve">1. Context &amp; Motivation</w:t>
      </w:r>
    </w:p>
    <w:p>
      <w:pPr>
        <w:spacing w:after="120"/>
      </w:pPr>
      <w:r>
        <w:t xml:space="preserve">The VCC currently offers ten model operations grouped into four UI categories: Structure &amp; Depth, Cross-Mapping, Friction &amp; Bottleneck Analysis, and Assessment &amp; Analysis. While functional, this organisation conflates two fundamentally different activities: operations that add structural depth to the scaffold (enrichments) and operations that assess the model without modifying it (diagnostics). This conflation creates several problems that this refactoring aims to resolve.</w:t>
      </w:r>
    </w:p>
    <w:p>
      <w:pPr>
        <w:spacing w:after="120"/>
      </w:pPr>
      <w:r>
        <w:t xml:space="preserve">First, the distinction matters ontologically. The VCC’s Architectural Invariant 2 (Layer Separation in Reasoning) defines three layers: Structural (the scaffold itself), Diagnostic (friction observations and assessments), and Interpretive (binding constraints and recommendations). Enrichments modify the Structural layer. Diagnostics produce artifacts in the Diagnostic and Interpretive layers. Mixing them in a single UI category obscures which operations change the model and which merely observe it.</w:t>
      </w:r>
    </w:p>
    <w:p>
      <w:pPr>
        <w:spacing w:after="120"/>
      </w:pPr>
      <w:r>
        <w:t xml:space="preserve">Second, the current system treats all operations as independent. In practice, many have implicit dependencies — Activity Flows require PPIT data, Gap Analysis requires Maturity Assessment, Risk Assessment benefits from both Friction and Dependency analysis. Without an explicit dependency graph, users may run operations in suboptimal order or miss prerequisites entirely.</w:t>
      </w:r>
    </w:p>
    <w:p>
      <w:pPr>
        <w:spacing w:after="120"/>
      </w:pPr>
      <w:r>
        <w:t xml:space="preserve">Third, there is currently no mechanism for users to provide contextual inputs with confidence levels. Many diagnostics would produce dramatically better results if the user could supply known data points (throughput figures, team sizes, SLA targets) rated by certainty. The system should ask smart questions and let users declare what they know versus what they’re estimating.</w:t>
      </w:r>
    </w:p>
    <w:p>
      <w:pPr>
        <w:spacing w:after="120"/>
      </w:pPr>
      <w:r>
        <w:t xml:space="preserve">Finally, the model lifecycle is currently one-directional. Once an enrichment runs, there is no way to checkpoint, branch, compare scenarios, or roll back. For a tool designed around iterative refinement and what-if analysis, this is a significant gap.</w:t>
      </w:r>
    </w:p>
    <w:p>
      <w:pPr>
        <w:pStyle w:val="Heading1"/>
      </w:pPr>
      <w:r>
        <w:t xml:space="preserve">2. Foundational Principles</w:t>
      </w:r>
    </w:p>
    <w:p>
      <w:pPr>
        <w:spacing w:after="120"/>
      </w:pPr>
      <w:r>
        <w:t xml:space="preserve">This refactoring adheres to the following principles from the VCC Design Principles document:</w:t>
      </w:r>
    </w:p>
    <w:p>
      <w:pPr>
        <w:pStyle w:val="ListParagraph"/>
        <w:numPr>
          <w:ilvl w:val="0"/>
          <w:numId w:val="2"/>
        </w:numPr>
        <w:spacing w:after="80"/>
      </w:pPr>
      <w:r>
        <w:rPr>
          <w:b/>
          <w:bCs/>
        </w:rPr>
        <w:t xml:space="preserve">Ontological Separation (Invariant 2): </w:t>
      </w:r>
      <w:r>
        <w:t xml:space="preserve">The structural scaffold must never be mutated because of diagnostic findings. Enrichments modify the scaffold. Diagnostics produce overlay artifacts that reference the scaffold by hash but never alter it.</w:t>
      </w:r>
    </w:p>
    <w:p>
      <w:pPr>
        <w:pStyle w:val="ListParagraph"/>
        <w:numPr>
          <w:ilvl w:val="0"/>
          <w:numId w:val="2"/>
        </w:numPr>
        <w:spacing w:after="80"/>
      </w:pPr>
      <w:r>
        <w:rPr>
          <w:b/>
          <w:bCs/>
        </w:rPr>
        <w:t xml:space="preserve">Scaffold-as-Canonical: </w:t>
      </w:r>
      <w:r>
        <w:t xml:space="preserve">The JSON scaffold remains the single source of truth. All operations — enrichments and diagnostics — either modify this canonical artifact or produce separate artifacts that reference it.</w:t>
      </w:r>
    </w:p>
    <w:p>
      <w:pPr>
        <w:pStyle w:val="ListParagraph"/>
        <w:numPr>
          <w:ilvl w:val="0"/>
          <w:numId w:val="2"/>
        </w:numPr>
        <w:spacing w:after="80"/>
      </w:pPr>
      <w:r>
        <w:rPr>
          <w:b/>
          <w:bCs/>
        </w:rPr>
        <w:t xml:space="preserve">Plausible Over Perfect: </w:t>
      </w:r>
      <w:r>
        <w:t xml:space="preserve">The system should recommend a sensible journey through enrichments and diagnostics, but never block progress. Users can override recommendations and run operations in any order they choose.</w:t>
      </w:r>
    </w:p>
    <w:p>
      <w:pPr>
        <w:pStyle w:val="ListParagraph"/>
        <w:numPr>
          <w:ilvl w:val="0"/>
          <w:numId w:val="2"/>
        </w:numPr>
        <w:spacing w:after="120"/>
      </w:pPr>
      <w:r>
        <w:rPr>
          <w:b/>
          <w:bCs/>
        </w:rPr>
        <w:t xml:space="preserve">Ontology Without Repository (D-095/D-097): </w:t>
      </w:r>
      <w:r>
        <w:t xml:space="preserve">All versioning, branching, and diffing happens client-side. No backend database is required for model state management.</w:t>
      </w:r>
    </w:p>
    <w:p>
      <w:pPr>
        <w:pStyle w:val="Heading1"/>
      </w:pPr>
      <w:r>
        <w:t xml:space="preserve">3. Enrichment vs Diagnostic Taxonomy</w:t>
      </w:r>
    </w:p>
    <w:p>
      <w:pPr>
        <w:pStyle w:val="Heading2"/>
      </w:pPr>
      <w:r>
        <w:t xml:space="preserve">3.1 Definitions</w:t>
      </w:r>
    </w:p>
    <w:p>
      <w:pPr>
        <w:spacing w:after="120"/>
      </w:pPr>
      <w:r>
        <w:rPr>
          <w:b/>
          <w:bCs/>
        </w:rPr>
        <w:t xml:space="preserve">Enrichment</w:t>
      </w:r>
      <w:r>
        <w:t xml:space="preserve"> — An operation that adds structural depth to the canonical scaffold. After an enrichment runs, the scaffold JSON contains new elements, relationships, or decompositions that were not present before. Enrichments are additive and modify the Structural layer. Examples: PPIT Mapping adds capabilityPPIT decompositions to activities; Activity Flows adds sub-activity DAG nodes; Performance Metrics adds metric and measure elements.</w:t>
      </w:r>
    </w:p>
    <w:p>
      <w:pPr>
        <w:spacing w:after="120"/>
      </w:pPr>
      <w:r>
        <w:rPr>
          <w:b/>
          <w:bCs/>
        </w:rPr>
        <w:t xml:space="preserve">Diagnostic</w:t>
      </w:r>
      <w:r>
        <w:t xml:space="preserve"> — An operation that assesses the model without modifying the scaffold. Diagnostics produce separate overlay artifacts (heatmaps, maturity scores, gap registers, risk registers) that reference the scaffold by content hash. They operate in the Diagnostic and Interpretive layers. The scaffold remains unchanged before and after a diagnostic runs.</w:t>
      </w:r>
    </w:p>
    <w:p>
      <w:pPr>
        <w:pStyle w:val="Heading2"/>
      </w:pPr>
      <w:r>
        <w:t xml:space="preserve">3.2 Classification Matrix</w:t>
      </w:r>
    </w:p>
    <w:p>
      <w:pPr>
        <w:spacing w:after="120"/>
      </w:pPr>
      <w:r>
        <w:t xml:space="preserve">The table below reclassifies all ten current operations under this taxonomy, specifying the ontological layer, the model readiness gate, dependency requirements, and key user inputs.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000"/>
        <w:gridCol w:w="1200"/>
        <w:gridCol w:w="1580"/>
        <w:gridCol w:w="15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Operation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Current Cat.</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Proposed 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Readiness Gate</w:t>
            </w:r>
          </w:p>
        </w:tc>
        <w:tc>
          <w:tcPr>
            <w:tcW w:type="dxa" w:w="1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Dependencies</w:t>
            </w:r>
          </w:p>
        </w:tc>
        <w:tc>
          <w:tcPr>
            <w:tcW w:type="dxa" w:w="1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Inputs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Map PPIT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Enrichment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Skeleton → Grounded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 (foundation)</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Role names, system inventories, team structures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Derive Activity Flows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Enrichment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Grounded → Detailed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Required: PPIT</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SOPs, workflow descriptions, process documentation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Generate Concept &amp; Policy Cards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Enrichment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Skeleton → Grounded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None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Glossary terms, policy documents, regulatory requirements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Cross-Map Relationships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Mapping</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Enrichment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Grounded → Detailed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Recommended: PPIT</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RACI matrices, integration maps, existing relationship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Generate Performance Metrics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Enrichment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Grounded → Detailed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Recommended: PPIT</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Existing KPIs, SLAs, performance targets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Assess Friction &amp; Bottlenecks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Friction</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Diagnostic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Interpretive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Grounded+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Recommended: PPIT, Activity Flows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Customer complaints, NPS, incident reports, pain 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Map Cross-Stream Dependencies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Diagnostic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Interpretive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Required: PPIT; Recommended: Cross-Map</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Integration maps, shared service catalogues, API contracts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Capability Maturity Assessment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Diagnostic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Interpretive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Required: PPIT; Recommended: Metrics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Maturity frameworks (CMMI/COBIT), audit reports, self-assessments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Current vs Target Gap Analysis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Diagnostic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Interpretive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Required: Maturity; Recommended: Metrics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Target-state requirements, strategic objectives, transformation goals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Operational Risk Assessment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1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Diagnostic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Interpretive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Assessed+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Required: Friction; Recommended: Maturity, Dependencies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Risk registers, audit findings, compliance requirements, BCP docs</w:t>
            </w:r>
          </w:p>
        </w:tc>
      </w:tr>
    </w:tbl>
    <w:p>
      <w:pPr>
        <w:spacing w:after="60"/>
      </w:pPr>
    </w:p>
    <w:p>
      <w:pPr>
        <w:pStyle w:val="Heading2"/>
      </w:pPr>
      <w:r>
        <w:t xml:space="preserve">3.3 Artifact Separation</w:t>
      </w:r>
    </w:p>
    <w:p>
      <w:pPr>
        <w:spacing w:after="120"/>
      </w:pPr>
      <w:r>
        <w:t xml:space="preserve">Enrichments write directly into the scaffold JSON (the canonical ScaffoldData object). When an enrichment completes, the scaffold hash changes, and any downstream diagnostics that reference the old hash are flagged as stale.</w:t>
      </w:r>
    </w:p>
    <w:p>
      <w:pPr>
        <w:spacing w:after="120"/>
      </w:pPr>
      <w:r>
        <w:t xml:space="preserve">Diagnostics produce separate JSON artifacts stored alongside the scaffold but never merged into it. Each diagnostic artifact includes a scaffoldHash field that records which version of the scaffold it was derived from. The UI displays diagnostic overlays (heatmaps, maturity badges, risk indicators) by projecting these artifacts onto the scaffold visualization — but the scaffold data itself is untouched.</w:t>
      </w:r>
    </w:p>
    <w:p>
      <w:pPr>
        <w:spacing w:after="120"/>
      </w:pPr>
      <w:r>
        <w:t xml:space="preserve">This separation ensures that Invariant 2 is always respected: you can delete all diagnostic artifacts and the scaffold remains structurally complete. You can re-run diagnostics against an unchanged scaffold and get reproducible results.</w:t>
      </w:r>
    </w:p>
    <w:p>
      <w:r>
        <w:br w:type="page"/>
      </w:r>
    </w:p>
    <w:p>
      <w:pPr>
        <w:pStyle w:val="Heading1"/>
      </w:pPr>
      <w:r>
        <w:t xml:space="preserve">4. Model Readiness States</w:t>
      </w:r>
    </w:p>
    <w:p>
      <w:pPr>
        <w:spacing w:after="120"/>
      </w:pPr>
      <w:r>
        <w:t xml:space="preserve">Rather than a simple boolean “done/not done” for each operation, the refactored system tracks the overall model through a progression of readiness states. Each state represents a qualitative level of model depth that unlocks specific operations.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Unlocks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Skeleton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scaffold from Pass A + B. Stages, capabilities, roles, IOs exist as IDs and names. No depth below top-level elements.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Concept/Policy Cards, Cross-Map (partial)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Grounded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PPIT mapped. Each activity×capability pair has People, Process, Information, Technology decomposition. Model has operational depth.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Activity Flows, Friction Assessment, Performance Metrics, Cross-Map (full)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Detailed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Activity flow DAGs derived. Sub-activity sequences, decision gates, handoffs documented per stage. Cross-maps and metrics populated.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Cross-Stream Dependencies, Maturity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Assessed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Diagnostics applied. Friction heatmap, maturity scores, and metrics baselines exist as overlay artifacts. Model has analytical depth.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Gap Analysis, Risk Assessment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Governed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Gap register and risk register complete. Model has full current-state picture with target-state comparison and risk overlay.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Transformation roadmap planning (future)</w:t>
            </w:r>
          </w:p>
        </w:tc>
      </w:tr>
    </w:tbl>
    <w:p>
      <w:pPr>
        <w:spacing w:after="60"/>
      </w:pPr>
    </w:p>
    <w:p>
      <w:pPr>
        <w:spacing w:after="120"/>
      </w:pPr>
      <w:r>
        <w:t xml:space="preserve">Readiness is computed automatically from the scaffold’s content. The system inspects which element collections are populated, which decompositions exist, and which diagnostic artifacts are present. This is a declarative check — the system never stores readiness as a separate field; it derives it from the model’s actual content.</w:t>
      </w:r>
    </w:p>
    <w:p>
      <w:pPr>
        <w:spacing w:after="120"/>
      </w:pPr>
      <w:r>
        <w:t xml:space="preserve">Readiness states are displayed prominently in the Enrichment/Diagnostic UI as a progress indicator, giving users a clear sense of where their model stands and what the next logical step would be.</w:t>
      </w:r>
    </w:p>
    <w:p>
      <w:pPr>
        <w:pStyle w:val="Heading1"/>
      </w:pPr>
      <w:r>
        <w:t xml:space="preserve">5. Dependency Graph &amp; Recommended Journey</w:t>
      </w:r>
    </w:p>
    <w:p>
      <w:pPr>
        <w:pStyle w:val="Heading2"/>
      </w:pPr>
      <w:r>
        <w:t xml:space="preserve">5.1 Dependency Types</w:t>
      </w:r>
    </w:p>
    <w:p>
      <w:pPr>
        <w:spacing w:after="120"/>
      </w:pPr>
      <w:r>
        <w:t xml:space="preserve">Each operation declares its dependencies using three levels:</w:t>
      </w:r>
    </w:p>
    <w:p>
      <w:pPr>
        <w:pStyle w:val="ListParagraph"/>
        <w:numPr>
          <w:ilvl w:val="0"/>
          <w:numId w:val="3"/>
        </w:numPr>
        <w:spacing w:after="80"/>
      </w:pPr>
      <w:r>
        <w:rPr>
          <w:b/>
          <w:bCs/>
        </w:rPr>
        <w:t xml:space="preserve">Required</w:t>
      </w:r>
      <w:r>
        <w:t xml:space="preserve"> — The operation cannot produce meaningful output without this prerequisite. The UI blocks execution and explains what’s needed. Example: Activity Flows requires PPIT data because the DAGs are built from capabilityPPIT sub-activities.</w:t>
      </w:r>
    </w:p>
    <w:p>
      <w:pPr>
        <w:pStyle w:val="ListParagraph"/>
        <w:numPr>
          <w:ilvl w:val="0"/>
          <w:numId w:val="3"/>
        </w:numPr>
        <w:spacing w:after="80"/>
      </w:pPr>
      <w:r>
        <w:rPr>
          <w:b/>
          <w:bCs/>
        </w:rPr>
        <w:t xml:space="preserve">Recommended</w:t>
      </w:r>
      <w:r>
        <w:t xml:space="preserve"> — The operation will work without this, but results will be significantly better with it. The UI shows an advisory message but allows the user to proceed. Example: Friction Assessment is recommended before Risk Assessment because friction data improves risk identification.</w:t>
      </w:r>
    </w:p>
    <w:p>
      <w:pPr>
        <w:pStyle w:val="ListParagraph"/>
        <w:numPr>
          <w:ilvl w:val="0"/>
          <w:numId w:val="3"/>
        </w:numPr>
        <w:spacing w:after="120"/>
      </w:pPr>
      <w:r>
        <w:rPr>
          <w:b/>
          <w:bCs/>
        </w:rPr>
        <w:t xml:space="preserve">Optional</w:t>
      </w:r>
      <w:r>
        <w:t xml:space="preserve"> — A hint that another operation provides useful context. No UI indication beyond a tooltip on the dependency graph visualization. Example: Cross-Map data is optional input for Cross-Stream Dependencies.</w:t>
      </w:r>
    </w:p>
    <w:p>
      <w:pPr>
        <w:pStyle w:val="Heading2"/>
      </w:pPr>
      <w:r>
        <w:t xml:space="preserve">5.2 Recommended Journey</w:t>
      </w:r>
    </w:p>
    <w:p>
      <w:pPr>
        <w:spacing w:after="120"/>
      </w:pPr>
      <w:r>
        <w:t xml:space="preserve">Based on the dependency graph, the system computes a recommended sequence for the user. This is not a rigid pipeline — it is an adaptive suggestion that updates based on what the user has already completed. The recommended journey for a typical model follows this general progression:</w:t>
      </w:r>
    </w:p>
    <w:p>
      <w:pPr>
        <w:pStyle w:val="ListParagraph"/>
        <w:numPr>
          <w:ilvl w:val="0"/>
          <w:numId w:val="4"/>
        </w:numPr>
        <w:spacing w:after="60"/>
      </w:pPr>
      <w:r>
        <w:rPr>
          <w:b/>
          <w:bCs/>
        </w:rPr>
        <w:t xml:space="preserve">Foundation: </w:t>
      </w:r>
      <w:r>
        <w:t xml:space="preserve">Map PPIT + Generate Concept &amp; Policy Cards (parallel, no dependencies)</w:t>
      </w:r>
    </w:p>
    <w:p>
      <w:pPr>
        <w:pStyle w:val="ListParagraph"/>
        <w:numPr>
          <w:ilvl w:val="0"/>
          <w:numId w:val="4"/>
        </w:numPr>
        <w:spacing w:after="60"/>
      </w:pPr>
      <w:r>
        <w:rPr>
          <w:b/>
          <w:bCs/>
        </w:rPr>
        <w:t xml:space="preserve">Structural Depth: </w:t>
      </w:r>
      <w:r>
        <w:t xml:space="preserve">Derive Activity Flows (requires PPIT) + Cross-Map Relationships + Performance Metrics</w:t>
      </w:r>
    </w:p>
    <w:p>
      <w:pPr>
        <w:pStyle w:val="ListParagraph"/>
        <w:numPr>
          <w:ilvl w:val="0"/>
          <w:numId w:val="4"/>
        </w:numPr>
        <w:spacing w:after="60"/>
      </w:pPr>
      <w:r>
        <w:rPr>
          <w:b/>
          <w:bCs/>
        </w:rPr>
        <w:t xml:space="preserve">Diagnostic — Observation: </w:t>
      </w:r>
      <w:r>
        <w:t xml:space="preserve">Assess Friction &amp; Bottlenecks + Map Cross-Stream Dependencies</w:t>
      </w:r>
    </w:p>
    <w:p>
      <w:pPr>
        <w:pStyle w:val="ListParagraph"/>
        <w:numPr>
          <w:ilvl w:val="0"/>
          <w:numId w:val="4"/>
        </w:numPr>
        <w:spacing w:after="60"/>
      </w:pPr>
      <w:r>
        <w:rPr>
          <w:b/>
          <w:bCs/>
        </w:rPr>
        <w:t xml:space="preserve">Diagnostic — Evaluation: </w:t>
      </w:r>
      <w:r>
        <w:t xml:space="preserve">Capability Maturity Assessment</w:t>
      </w:r>
    </w:p>
    <w:p>
      <w:pPr>
        <w:pStyle w:val="ListParagraph"/>
        <w:numPr>
          <w:ilvl w:val="0"/>
          <w:numId w:val="4"/>
        </w:numPr>
        <w:spacing w:after="120"/>
      </w:pPr>
      <w:r>
        <w:rPr>
          <w:b/>
          <w:bCs/>
        </w:rPr>
        <w:t xml:space="preserve">Diagnostic — Synthesis: </w:t>
      </w:r>
      <w:r>
        <w:t xml:space="preserve">Gap Analysis + Operational Risk Assessment</w:t>
      </w:r>
    </w:p>
    <w:p>
      <w:pPr>
        <w:pStyle w:val="Heading2"/>
      </w:pPr>
      <w:r>
        <w:t xml:space="preserve">5.3 Next-Best-Action Engine</w:t>
      </w:r>
    </w:p>
    <w:p>
      <w:pPr>
        <w:spacing w:after="120"/>
      </w:pPr>
      <w:r>
        <w:t xml:space="preserve">The “Next Best Action” engine continuously evaluates the model’s current state and recommends what the user should do next. It considers: which operations have been completed, the current readiness state, which dependencies are satisfied, and what inputs the user has already provided. The recommendation appears as a highlighted card in the Enrichment/Diagnostic UI with a brief explanation of why this operation is recommended now.</w:t>
      </w:r>
    </w:p>
    <w:p>
      <w:pPr>
        <w:spacing w:after="120"/>
      </w:pPr>
      <w:r>
        <w:t xml:space="preserve">The engine uses a simple scoring heuristic: operations whose required dependencies are all met score highest; among those, operations that unlock the most downstream operations are preferred; among ties, enrichments are preferred over diagnostics (build the model before assessing it). The user can always override by selecting any unlocked operation.</w:t>
      </w:r>
    </w:p>
    <w:p>
      <w:pPr>
        <w:pStyle w:val="Heading1"/>
      </w:pPr>
      <w:r>
        <w:t xml:space="preserve">6. Contextual Input System</w:t>
      </w:r>
    </w:p>
    <w:p>
      <w:pPr>
        <w:pStyle w:val="Heading2"/>
      </w:pPr>
      <w:r>
        <w:t xml:space="preserve">6.1 Smart Questions</w:t>
      </w:r>
    </w:p>
    <w:p>
      <w:pPr>
        <w:spacing w:after="120"/>
      </w:pPr>
      <w:r>
        <w:t xml:space="preserve">Each operation defines a set of contextual questions that improve output quality when answered. These are not required — the operation can always run with defaults — but user-provided data dramatically improves relevance and accuracy. Questions are surfaced in a pre-flight panel before the operation runs.</w:t>
      </w:r>
    </w:p>
    <w:p>
      <w:pPr>
        <w:spacing w:after="120"/>
      </w:pPr>
      <w:r>
        <w:t xml:space="preserve">For example, before running Friction Assessment, the system might ask: “What is the average cycle time for this value stream?”, “Are there known compliance bottlenecks?”, “What is the current customer satisfaction score?”. Each question includes a hint about why this information helps and what the default assumption will be if not answered.</w:t>
      </w:r>
    </w:p>
    <w:p>
      <w:pPr>
        <w:pStyle w:val="Heading2"/>
      </w:pPr>
      <w:r>
        <w:t xml:space="preserve">6.2 Confidence Levels</w:t>
      </w:r>
    </w:p>
    <w:p>
      <w:pPr>
        <w:spacing w:after="120"/>
      </w:pPr>
      <w:r>
        <w:t xml:space="preserve">Every user-provided input carries a confidence tag indicating how certain the user is about the value. This metadata flows into the LLM prompts and affects how the system weights the input during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Confidence</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Definition</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UX Treatment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Accurate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Verified data from authoritative source (e.g., system extract, audited report, contractual obligation)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Solid indicator. Full weight in analysis.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Informed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Subject-matter expert knowledge, recent observation, or well-founded estimate based on experience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 indicator. Flagged as expert input.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Estimate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Rough approximation, educated guess, or extrapolation from limited data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Dashed indicator. Sensitivity analysis recommended.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Unknown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data available. User explicitly marks this as unknown rather than guessing.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Hollow/grey indicator. Excluded from confidence-dependent analysis; surfaced as data gap.</w:t>
            </w:r>
          </w:p>
        </w:tc>
      </w:tr>
    </w:tbl>
    <w:p>
      <w:pPr>
        <w:spacing w:after="60"/>
      </w:pPr>
    </w:p>
    <w:p>
      <w:pPr>
        <w:spacing w:after="120"/>
      </w:pPr>
      <w:r>
        <w:t xml:space="preserve">Confidence levels are displayed in diagnostic outputs so that stakeholders can understand the evidential basis of any finding. A friction assessment where all inputs are “Accurate” carries more weight than one based on “Estimate” data — and the system makes this visible.</w:t>
      </w:r>
    </w:p>
    <w:p>
      <w:pPr>
        <w:pStyle w:val="Heading2"/>
      </w:pPr>
      <w:r>
        <w:t xml:space="preserve">6.3 Input Reuse Across Operations</w:t>
      </w:r>
    </w:p>
    <w:p>
      <w:pPr>
        <w:spacing w:after="120"/>
      </w:pPr>
      <w:r>
        <w:t xml:space="preserve">Inputs provided for one operation are stored in a model-level input registry (part of the scaffold metadata, not the structural scaffold itself). When a subsequent operation asks a question that overlaps with a previously answered one, the system pre-fills the answer and shows the user when it was last provided. This avoids redundant data entry and creates a progressively richer context for each operation.</w:t>
      </w:r>
    </w:p>
    <w:p>
      <w:r>
        <w:br w:type="page"/>
      </w:r>
    </w:p>
    <w:p>
      <w:pPr>
        <w:pStyle w:val="Heading1"/>
      </w:pPr>
      <w:r>
        <w:t xml:space="preserve">7. Model Versioning &amp; Scenario Branching</w:t>
      </w:r>
    </w:p>
    <w:p>
      <w:pPr>
        <w:pStyle w:val="Heading2"/>
      </w:pPr>
      <w:r>
        <w:t xml:space="preserve">7.1 Design Constraints</w:t>
      </w:r>
    </w:p>
    <w:p>
      <w:pPr>
        <w:spacing w:after="120"/>
      </w:pPr>
      <w:r>
        <w:t xml:space="preserve">All versioning is client-side, using IndexedDB for persistence. No backend is required (D-095/D-097: Ontology Without Repository). The versioning system must support: automatic checkpoints before each enrichment/diagnostic, user-labeled snapshots, branching from any checkpoint, side-by-side comparison of branches, and merge/discard of branches.</w:t>
      </w:r>
    </w:p>
    <w:p>
      <w:pPr>
        <w:pStyle w:val="Heading2"/>
      </w:pPr>
      <w:r>
        <w:t xml:space="preserve">7.2 Checkpoint Model</w:t>
      </w:r>
    </w:p>
    <w:p>
      <w:pPr>
        <w:spacing w:after="120"/>
      </w:pPr>
      <w:r>
        <w:t xml:space="preserve">Every time an enrichment is about to run, the system automatically creates a checkpoint: a complete serialized copy of the scaffold JSON, plus metadata (timestamp, operation about to run, readiness state, input parameters). Checkpoints are stored in IndexedDB keyed by a content hash of the scaffold plus a monotonic sequence number.</w:t>
      </w:r>
    </w:p>
    <w:p>
      <w:pPr>
        <w:spacing w:after="120"/>
      </w:pPr>
      <w:r>
        <w:t xml:space="preserve">Diagnostics do NOT trigger checkpoints (they don’t modify the scaffold). However, diagnostic artifacts are stored separately and tagged with the scaffold hash they were derived from, so they can be matched to any checkpoint.</w:t>
      </w:r>
    </w:p>
    <w:p>
      <w:pPr>
        <w:pStyle w:val="Heading2"/>
      </w:pPr>
      <w:r>
        <w:t xml:space="preserve">7.3 Branching &amp; Scenarios</w:t>
      </w:r>
    </w:p>
    <w:p>
      <w:pPr>
        <w:spacing w:after="120"/>
      </w:pPr>
      <w:r>
        <w:t xml:space="preserve">Users can create a named branch from any checkpoint. A branch is a lightweight pointer to a checkpoint plus any subsequent modifications. The primary working model is always on the “main” branch. Scenario branches allow users to explore what-if alternatives: “What if we restructure the fulfilment value stream?”, “What if we add a new capability?”</w:t>
      </w:r>
    </w:p>
    <w:p>
      <w:pPr>
        <w:spacing w:after="120"/>
      </w:pPr>
      <w:r>
        <w:t xml:space="preserve">Branch operations include: Create Branch (from any checkpoint), Switch Branch (changes the active scaffold), Label Branch (user-supplied name and description), Compare Branches (structural diff between two scaffold versions, showing added/removed/modified elements), and Merge Branch (apply changes from a branch back to main, with conflict detection for elements modified in both).</w:t>
      </w:r>
    </w:p>
    <w:p>
      <w:pPr>
        <w:pStyle w:val="Heading2"/>
      </w:pPr>
      <w:r>
        <w:t xml:space="preserve">7.4 Diff &amp; Compare</w:t>
      </w:r>
    </w:p>
    <w:p>
      <w:pPr>
        <w:spacing w:after="120"/>
      </w:pPr>
      <w:r>
        <w:t xml:space="preserve">The diff engine operates at the scaffold element level, not at the JSON text level. It compares two scaffold versions and produces a structured diff: elements added, elements removed, elements modified (with field-level change detail), relationships changed, and readiness state comparison. This structural diff powers both the branch comparison UI and the checkpoint history view.</w:t>
      </w:r>
    </w:p>
    <w:p>
      <w:pPr>
        <w:pStyle w:val="Heading1"/>
      </w:pPr>
      <w:r>
        <w:t xml:space="preserve">8. Use Case Lifecycle</w:t>
      </w:r>
    </w:p>
    <w:p>
      <w:pPr>
        <w:pStyle w:val="Heading2"/>
      </w:pPr>
      <w:r>
        <w:t xml:space="preserve">8.1 Current Limitation</w:t>
      </w:r>
    </w:p>
    <w:p>
      <w:pPr>
        <w:spacing w:after="120"/>
      </w:pPr>
      <w:r>
        <w:t xml:space="preserve">Currently, the user selects a primary use case at project creation time. This selection determines which features are available and which are gated. However, there is no mechanism to add additional use cases to an existing project — the selection is a one-time gate.</w:t>
      </w:r>
    </w:p>
    <w:p>
      <w:pPr>
        <w:pStyle w:val="Heading2"/>
      </w:pPr>
      <w:r>
        <w:t xml:space="preserve">8.2 Proposed Lifecycle</w:t>
      </w:r>
    </w:p>
    <w:p>
      <w:pPr>
        <w:spacing w:after="120"/>
      </w:pPr>
      <w:r>
        <w:t xml:space="preserve">The refactored system supports progressive use case activation. The initial project creation flow remains the same — the user selects their primary use case, which determines the default feature set and recommended journey. However, at any point during the project lifecycle, the user can activate additional use cases from a Use Case Management panel.</w:t>
      </w:r>
    </w:p>
    <w:p>
      <w:pPr>
        <w:spacing w:after="120"/>
      </w:pPr>
      <w:r>
        <w:t xml:space="preserve">When a new use case is activated, the system performs a gap check: what enrichments and diagnostics does this use case recommend that haven’t been run yet? The Next-Best-Action engine updates its recommendations to incorporate the new use case’s requirements. Features that were previously gated become available. The model’s recommended journey expands to include the additional use case’s typical path.</w:t>
      </w:r>
    </w:p>
    <w:p>
      <w:pPr>
        <w:spacing w:after="120"/>
      </w:pPr>
      <w:r>
        <w:t xml:space="preserve">This is particularly important for the natural progression from Operating Model Design (the most common starting use case) into Transformation Planning, Technology Rationalisation, or Risk &amp; Compliance Assessment. Users shouldn’t have to create a new project to explore these adjacent use cases — they should be able to grow into them.</w:t>
      </w:r>
    </w:p>
    <w:p>
      <w:pPr>
        <w:pStyle w:val="Heading2"/>
      </w:pPr>
      <w:r>
        <w:t xml:space="preserve">8.3 Tier Interaction</w:t>
      </w:r>
    </w:p>
    <w:p>
      <w:pPr>
        <w:spacing w:after="120"/>
      </w:pPr>
      <w:r>
        <w:t xml:space="preserve">Use case activation respects the user’s subscription tier. Free-tier users may activate one primary use case. Pro-tier users can activate up to three. Enterprise-tier users have unlimited use case activation. The UpsellModal handles tier-gated activation attempts with clear messaging about what the upgrade provides.</w:t>
      </w:r>
    </w:p>
    <w:p>
      <w:pPr>
        <w:pStyle w:val="Heading1"/>
      </w:pPr>
      <w:r>
        <w:t xml:space="preserve">9. Implementation Considerations</w:t>
      </w:r>
    </w:p>
    <w:p>
      <w:pPr>
        <w:pStyle w:val="Heading2"/>
      </w:pPr>
      <w:r>
        <w:t xml:space="preserve">9.1 Store Architecture</w:t>
      </w:r>
    </w:p>
    <w:p>
      <w:pPr>
        <w:spacing w:after="120"/>
      </w:pPr>
      <w:r>
        <w:t xml:space="preserve">The refactored system requires modifications to three Zustand stores. The enrichment-store gains a dependency graph, readiness computation, and next-best-action engine. The canvas-store gains checkpoint/branch management integrated with IndexedDB. The workbench-store’s deep-clone pattern on enterWorkbench remains correct and does not need modification.</w:t>
      </w:r>
    </w:p>
    <w:p>
      <w:pPr>
        <w:pStyle w:val="Heading2"/>
      </w:pPr>
      <w:r>
        <w:t xml:space="preserve">9.2 Diagnostic Artifact Storage</w:t>
      </w:r>
    </w:p>
    <w:p>
      <w:pPr>
        <w:spacing w:after="120"/>
      </w:pPr>
      <w:r>
        <w:t xml:space="preserve">Diagnostic artifacts are stored in a new scaffoldDiagnostics collection in the canvas store, keyed by diagnostic type and tagged with scaffoldHash. This parallels the existing heatmapsByVs pattern already used for Friction Assessment, but generalises it to all diagnostics. When the scaffold hash changes (due to an enrichment), diagnostics are marked stale but not deleted — the user can choose to re-run them or keep the historical assessment.</w:t>
      </w:r>
    </w:p>
    <w:p>
      <w:pPr>
        <w:pStyle w:val="Heading2"/>
      </w:pPr>
      <w:r>
        <w:t xml:space="preserve">9.3 IndexedDB Schema</w:t>
      </w:r>
    </w:p>
    <w:p>
      <w:pPr>
        <w:spacing w:after="120"/>
      </w:pPr>
      <w:r>
        <w:t xml:space="preserve">A new IndexedDB database (vcc-model-versions) stores checkpoints and branches. The schema includes two object stores: checkpoints (keyed by hash + sequence, indexed by timestamp and branch) and branches (keyed by name, containing head checkpoint reference and metadata). The scaffold JSON is stored as a Blob to minimise IndexedDB storage overhead.</w:t>
      </w:r>
    </w:p>
    <w:p>
      <w:pPr>
        <w:pStyle w:val="Heading2"/>
      </w:pPr>
      <w:r>
        <w:t xml:space="preserve">9.4 Migration Path</w:t>
      </w:r>
    </w:p>
    <w:p>
      <w:pPr>
        <w:spacing w:after="120"/>
      </w:pPr>
      <w:r>
        <w:t xml:space="preserve">Existing projects with completed enrichments will be automatically classified into the appropriate readiness state on first load. No data migration is required — readiness is computed from content, not stored. Existing Friction Assessment heatmaps will be wrapped in the new diagnostic artifact format. The initial checkpoint for existing projects will be created from their current scaffold state.</w:t>
      </w:r>
    </w:p>
    <w:p>
      <w:pPr>
        <w:pStyle w:val="Heading1"/>
      </w:pPr>
      <w:r>
        <w:t xml:space="preserve">10. Open Questions for SPAR Review</w:t>
      </w:r>
    </w:p>
    <w:p>
      <w:pPr>
        <w:spacing w:after="120"/>
      </w:pPr>
      <w:r>
        <w:t xml:space="preserve">The following questions are proposed for structured SPAR discussion before implementation begins:</w:t>
      </w:r>
    </w:p>
    <w:p>
      <w:pPr>
        <w:pStyle w:val="ListParagraph"/>
        <w:numPr>
          <w:ilvl w:val="0"/>
          <w:numId w:val="5"/>
        </w:numPr>
        <w:spacing w:after="100"/>
      </w:pPr>
      <w:r>
        <w:rPr>
          <w:b/>
          <w:bCs/>
        </w:rPr>
        <w:t xml:space="preserve">Diagnostic staleness policy: </w:t>
      </w:r>
      <w:r>
        <w:t xml:space="preserve">When a scaffold changes after a diagnostic was run, should the UI warn the user, auto-hide the stale overlay, or show it with a visual staleness indicator? The current proposal is a visual indicator (amber badge on stale diagnostics) with the option to re-run.</w:t>
      </w:r>
    </w:p>
    <w:p>
      <w:pPr>
        <w:pStyle w:val="ListParagraph"/>
        <w:numPr>
          <w:ilvl w:val="0"/>
          <w:numId w:val="5"/>
        </w:numPr>
        <w:spacing w:after="100"/>
      </w:pPr>
      <w:r>
        <w:rPr>
          <w:b/>
          <w:bCs/>
        </w:rPr>
        <w:t xml:space="preserve">Branch merge strategy: </w:t>
      </w:r>
      <w:r>
        <w:t xml:space="preserve">When merging a scenario branch back to main, how should conflicts be handled? Options include: manual per-element resolution (most control), last-write-wins (simplest), or merge-by-layer where structural and diagnostic changes are handled independently.</w:t>
      </w:r>
    </w:p>
    <w:p>
      <w:pPr>
        <w:pStyle w:val="ListParagraph"/>
        <w:numPr>
          <w:ilvl w:val="0"/>
          <w:numId w:val="5"/>
        </w:numPr>
        <w:spacing w:after="100"/>
      </w:pPr>
      <w:r>
        <w:rPr>
          <w:b/>
          <w:bCs/>
        </w:rPr>
        <w:t xml:space="preserve">Input registry scope: </w:t>
      </w:r>
      <w:r>
        <w:t xml:space="preserve">Should the input registry be scaffold-level (inputs travel with the model) or project-level (inputs persist even if the scaffold is replaced)? The current proposal is scaffold-level, stored in a metadata section of the scaffold JSON that enrichment/diagnostic operations do not read.</w:t>
      </w:r>
    </w:p>
    <w:p>
      <w:pPr>
        <w:pStyle w:val="ListParagraph"/>
        <w:numPr>
          <w:ilvl w:val="0"/>
          <w:numId w:val="5"/>
        </w:numPr>
        <w:spacing w:after="100"/>
      </w:pPr>
      <w:r>
        <w:rPr>
          <w:b/>
          <w:bCs/>
        </w:rPr>
        <w:t xml:space="preserve">Readiness gate strictness: </w:t>
      </w:r>
      <w:r>
        <w:t xml:space="preserve">Should “Required” dependencies be hard blocks (greyed-out button, cannot proceed) or soft blocks (warning dialog with an “I understand, proceed anyway” option)? The Plausible Over Perfect principle argues for soft blocks.</w:t>
      </w:r>
    </w:p>
    <w:p>
      <w:pPr>
        <w:pStyle w:val="ListParagraph"/>
        <w:numPr>
          <w:ilvl w:val="0"/>
          <w:numId w:val="5"/>
        </w:numPr>
        <w:spacing w:after="100"/>
      </w:pPr>
      <w:r>
        <w:rPr>
          <w:b/>
          <w:bCs/>
        </w:rPr>
        <w:t xml:space="preserve">Checkpoint storage limits: </w:t>
      </w:r>
      <w:r>
        <w:t xml:space="preserve">IndexedDB has practical size limits. Should the system auto-prune old checkpoints (e.g., keep last 50 per branch), let users manage storage manually, or compress/dedup scaffold JSON to reduce footprint?</w:t>
      </w:r>
    </w:p>
    <w:p>
      <w:pPr>
        <w:pStyle w:val="ListParagraph"/>
        <w:numPr>
          <w:ilvl w:val="0"/>
          <w:numId w:val="5"/>
        </w:numPr>
        <w:spacing w:after="100"/>
      </w:pPr>
      <w:r>
        <w:rPr>
          <w:b/>
          <w:bCs/>
        </w:rPr>
        <w:t xml:space="preserve">Use case activation UX: </w:t>
      </w:r>
      <w:r>
        <w:t xml:space="preserve">Should activating a new use case immediately re-compute the recommended journey and surface new recommendations, or should it be a quiet activation that the user explores at their own pace?</w:t>
      </w:r>
    </w:p>
    <w:p>
      <w:pPr>
        <w:spacing w:after="60"/>
      </w:pPr>
    </w:p>
    <w:p>
      <w:pPr>
        <w:pBdr>
          <w:top w:val="single" w:color="2E75B6" w:sz="4" w:space="8"/>
        </w:pBdr>
        <w:spacing w:after="120" w:before="300"/>
      </w:pPr>
      <w:r>
        <w:rPr>
          <w:i/>
          <w:iCs/>
        </w:rPr>
        <w:t xml:space="preserve">This document is a draft for SPAR review. Decisions recorded during SPAR will be captured in the Decision Record format specified in SPAR_PROTOCOL.md and appended to this document or its successor.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8"/>
        <w:szCs w:val="18"/>
      </w:rPr>
      <w:t xml:space="preserve">VCC Design Spec — Enrichment &amp; Diagnostic Refactoring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2026-03-30T15:58:35.119Z</dcterms:created>
  <dcterms:modified xsi:type="dcterms:W3CDTF">2026-03-30T15:58:35.120Z</dcterms:modified>
</cp:coreProperties>
</file>

<file path=docProps/custom.xml><?xml version="1.0" encoding="utf-8"?>
<Properties xmlns="http://schemas.openxmlformats.org/officeDocument/2006/custom-properties" xmlns:vt="http://schemas.openxmlformats.org/officeDocument/2006/docPropsVTypes"/>
</file>