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E5FA1"/>
          <w:spacing w:val="120"/>
          <w:sz w:val="20"/>
          <w:szCs w:val="20"/>
        </w:rPr>
        <w:t xml:space="preserve">VCC METHODOLOGY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Friction Assessment</w:t>
      </w:r>
    </w:p>
    <w:p>
      <w:pPr>
        <w:spacing w:after="40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How constraint is identified, classified, and scored across value streams</w:t>
      </w:r>
    </w:p>
    <w:p>
      <w:pPr>
        <w:pBdr>
          <w:top w:val="single" w:color="2E5FA1" w:sz="4" w:space="8"/>
        </w:pBdr>
        <w:spacing w:after="8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Value Cognition Canvas v0.4.0</w:t>
      </w:r>
    </w:p>
    <w:p>
      <w:pPr>
        <w:spacing w:after="16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What is a Friction Assessment?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 Friction Assessment is a structured diagnostic that identifies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 constraint accumulates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in a value stream. Unlike traditional process reviews that list problems, a friction assessment anchors every observation to a specific element in the operating model (an activity, role, control, or capability) and classifies it according to a formal taxonomy.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output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heatmap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that overlays the value stream canvas, showing which activities carry the most friction and which single point represents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binding constraint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— the bottleneck that limits overall throughput.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assessment serves three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Diagnostic: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Surface where operational friction exists and quantify its intensity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Interpretive: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Identify the binding constraint — the single point that most limits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Interventional: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Map friction observations to solution recommendations (People, Process, Information, Technology)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The Friction Taxonomy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Friction observations are classified into six categories, split between two governance concerns. This taxonomy is exhaustive — any operational friction in a value stream maps to exactly one of these categories.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Execution Friction (Amber)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Execution friction describes operational bottlenecks — places where work stalls, fragments, or degrades as it moves through the value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Signal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Process Handoff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Work stalls between stages. Rework loops, wait-time queues, and sequential gating without parallelism.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Long activity chains without branching; repeated outcome loops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Systems don’t interoperate. Manual data re-entry, automation gaps, capability spread across multiple unlinked systems.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Single activity requiring multiple capabilities; capability spread across VS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Data Signal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Information is fragmented or delayed. Decision latency due to data dependency chains (3+ consecutive activities depending on same information objects).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Repeated informationObjectIds across sequential activities</w:t>
            </w:r>
          </w:p>
        </w:tc>
      </w:tr>
    </w:tbl>
    <w:p>
      <w:pPr>
        <w:spacing w:after="200"/>
      </w:pP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Governing Friction (Red)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Governing friction describes decision and control bottlenecks — places where authority, compliance, or accountability structures impede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Signal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Decision Authority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Decision rights are ambiguous. Escalation layers multiply, approval gates concentrate on single roles, delegation is unclear.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Single-point approval; role appearing in &gt;5 activities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Governance Risk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Control layering creates overhead. Compliance gates multiply without clear risk reduction; audit burden exceeds value.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2+ controls per activity; metric absence where controls exist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Incentive Capacity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Performance measures distort behaviour. Budget fragments accountability. Metrics misaligned with outcomes or absent entirely.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Role overload (5+ activities); missing or misaligned metrics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Evidence Classification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observation declares its evidential basis. This matters because it determines how much weight the observation carries in scoring and how urgently it needs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EVIDENCED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Directly stated in source material (transcript, document, or user input). Includes verbatim or paraphrased evidence.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Must include evidence[] array with source references. No intensity cap.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INFERRED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Derived from scaffold structure. The AI identifies structural patterns that typically indicate friction.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Must include structuralPattern object describing what was detected. No intensity cap.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ASSUMED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Domain heuristic only. Common friction pattern applied without specific evidence from this context.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Intensity capped at 5/10. Requires validation flag. Lowest scoring weight.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Intensity Scoring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observation receives an intensity score on a 0–10 scale. This score is assigned by the AI based on the severity of the friction pattern and the strength of the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8 – 10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Immediate action required. Blocks throughput or creates systemic risk.</w:t>
            </w:r>
          </w:p>
        </w:tc>
      </w:tr>
      <w:tr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6 – 7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Significant friction. Blocks key decisions or degrades quality noticeably.</w:t>
            </w:r>
          </w:p>
        </w:tc>
      </w:tr>
      <w:tr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 – 5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Moderate friction. Worth addressing but not blocking. ASSUMED observations capped here.</w:t>
            </w:r>
          </w:p>
        </w:tc>
      </w:tr>
      <w:tr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Low</w:t>
            </w:r>
          </w:p>
        </w:tc>
        <w:tc>
          <w:tcPr>
            <w:tcW w:type="dxa" w:w="6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Minor friction. Low priority unless part of a pattern.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The Anchor Model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friction observation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anchored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to one or more elements in the scaffold. This is what makes friction assessments structural rather than anecdotal — each observation points to a specific, identifiable part of the operating model.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Anchor Types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primary anchor identifies the element most responsible for the friction. Contributing anchors identify related elements that participate in or amplify the friction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Activity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 step in the value stream (most common anchor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Role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 person or team performing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Capability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an organisational ability required by an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Control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 governance mechanism (approval gate, compliance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Metric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 performance measure attached to an activity or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Constraint / Directive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a policy or rule governing behaviour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Anchor Resolution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When a friction observation is anchored to a non-activity element (e.g., a Role or Metric), the system resolves it to the set of activities that reference that element. This is how the heatmap overlay works: even a Role-anchored observation lights up the correct activity columns on the canvas.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Resolution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Role → Activities: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All activities where performedByRoleIds includes the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Capability → Activities: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All activities where requiresCapabilityIds includes the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Metric → Activities: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All activities where metricIds includes the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Control → Activities: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All activities where controlIds includes the control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The Binding Constraint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binding constraint is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single point in the value stream that most limits overall throughput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. Borrowed from the Theory of Constraints, this concept ensures the assessment doesn’t just list problems but identifies the one place where intervention would have the greatest systemic effect.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Scoring Model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Binding constraint eligibility is determined by a 5-dimensional scoring model. Each dimension scores 0–3 for a maximum of 15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E5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Observation Frequency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How many friction observations reference this anchor point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Authority Centralisation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Degree to which decision rights concentrate at this point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Downstream Dependency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How many subsequent activities depend on this anchor’s output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Control Layering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Number of governance controls stacked at this point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Capacity Constraint</w:t>
            </w:r>
          </w:p>
        </w:tc>
        <w:tc>
          <w:tcPr>
            <w:tcW w:type="dxa" w:w="50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Whether this point is resource-limited (people, systems, budget)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 – 3</w:t>
            </w:r>
          </w:p>
        </w:tc>
      </w:tr>
    </w:tbl>
    <w:p>
      <w:pPr>
        <w:spacing w:after="200"/>
      </w:pP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Eligibility and Confidence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Eligibility rule: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 anchor is only eligible to be the binding constraint if its Downstream Dependency score is ≥ 2. This prevents edge-of-chain activities (which may be painful but don’t limit throughput) from being selected.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Confidence: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Calculated as totalScore / 15, expressed as a percentage. A binding constraint with 12/15 has 80% confidence. A null binding constraint is valid — it means the assessment found friction but no clear single bottleneck.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Three-Layer Architecture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friction assessment is evolving toward a three-layer architecture that cleanly separates observation from interpretation from action: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Diagnostic Layer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Pure observations. Each friction observation is a factual finding: </w:t>
      </w: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"Process Handoff friction at Activity X, intensity 7/10, INFERRED from sequential gating pattern."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No interpretation, no recommendations. This layer is generated by the AI and editable by the user.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Interpretive Layer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judgment applied to the diagnostics. The binding constraint selection lives here — it’s zero-or-one per value stream, and represents the analyst’s (or AI’s) interpretation of where intervention would have the most impact. This layer can be overridden by the user.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Intervention Layer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Action artifacts. Solutions mapped to observations (People, Process, Information, Technology types), vendor feature references, customer stories, and generated user stories. This is where the assessment connects to implementation.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Generation Pipeline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Friction assessments are generated by an LLM pass (Pass C in the VCC pipeline) that analyses the scaffold structure against the taxonomy. The generation process: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 Input preparation: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scaffold is reduced to a minimal skeleton (activity names, IDs, outcome links) to stay within token limits. Pain points from the discovery transcript are included if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 Structural analysis: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LLM analyses the scaffold against each of the six friction categories, looking for structural patterns (sequential gating, role overload, control layering,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 Observation generation: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For each identified friction point, the LLM produces a classified observation with anchor, category, intensity, evidence basis, and rationale.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 Binding constraint scoring: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5-dimensional scoring model is applied to identify the binding constraint. Eligibility rules filter candidates.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5. Solution enrichment (optional):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separate pass maps friction observations to vendor capabilities and solution recommendations, producing the intervention layer.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Quality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Anchor validation: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Every anchor ID must reference a real scaffold element. Invalid anchors are rejected.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ASSUMED cap: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Observations classified as ASSUMED are automatically intensity-capped at 5/10.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Downstream dependency gate: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Binding constraint candidates must score ≥ 2 on downstream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Null binding allowed: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If no anchor meets the eligibility threshold, the binding constraint is null rather than forced.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User Workflow</w:t>
      </w:r>
    </w:p>
    <w:p>
      <w:pPr>
        <w:spacing w:after="1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friction assessment integrates into the VCC workflow at Step 2 of the Stage Wizard, after the scaffold has been generated and validated: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Generate scaffold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(Pass A + B) — produces the value stream structure with activities, roles,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Assess friction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(Pass C) — triggered by user clicking “Assess Friction” in the Stage Wizard. Generates one heatmap per value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Review on canvas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friction observations appear as coloured badges on activity columns. Amber for execution friction, red for governing friction. The binding constraint activity gets a distinct marker.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Inspect and edit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clicking a friction badge opens the Friction Panel, showing all observations anchored to that activity. Users can modify intensity, reclassify categories, or add new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Enrich with solutions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(Pass 4, optional) — maps observations to vendor features and solution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Export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— the full bundle (scaffold + heatmaps + solutions) can be downloaded as JSON for re-import or sharing.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Scope: one heatmap per value stream. Observations are resolved to activities for display but can be anchored to any scaffold element type. The binding constraint is value-stream-level (one per heatmap).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6B6B"/>
        <w:sz w:val="16"/>
        <w:szCs w:val="16"/>
      </w:rPr>
      <w:t xml:space="preserve">VCC Friction Assessment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2026-03-21T14:20:03.322Z</dcterms:created>
  <dcterms:modified xsi:type="dcterms:W3CDTF">2026-03-21T14:20:03.322Z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