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9CA3AF"/>
          <w:spacing w:val="80"/>
          <w:sz w:val="20"/>
          <w:szCs w:val="20"/>
        </w:rPr>
        <w:t xml:space="preserve">VALUE COGNITION CANVAS</w:t>
      </w:r>
    </w:p>
    <w:p>
      <w:pPr>
        <w:pBdr>
          <w:bottom w:val="single" w:color="2563EB" w:sz="6"/>
        </w:pBdr>
        <w:spacing w:before="0" w:after="200"/>
      </w:pPr>
      <w:r>
        <w:t xml:space="preserve"/>
      </w:r>
    </w:p>
    <w:p>
      <w:pPr>
        <w:spacing w:before="80" w:after="0"/>
      </w:pPr>
      <w:r>
        <w:t xml:space="preserve"/>
      </w:r>
    </w:p>
    <w:p>
      <w:pPr>
        <w:spacing w:before="0" w:after="80"/>
      </w:pPr>
      <w:r>
        <w:rPr>
          <w:rFonts w:ascii="Arial" w:cs="Arial" w:eastAsia="Arial" w:hAnsi="Arial"/>
          <w:b/>
          <w:bCs/>
          <w:color w:val="1B2A4A"/>
          <w:sz w:val="52"/>
          <w:szCs w:val="52"/>
        </w:rPr>
        <w:t xml:space="preserve">Getting Started with VCC</w:t>
      </w:r>
    </w:p>
    <w:p>
      <w:pPr>
        <w:spacing w:before="0" w:after="40"/>
      </w:pPr>
      <w:r>
        <w:rPr>
          <w:rFonts w:ascii="Arial" w:cs="Arial" w:eastAsia="Arial" w:hAnsi="Arial"/>
          <w:color w:val="4B5563"/>
          <w:sz w:val="26"/>
          <w:szCs w:val="26"/>
        </w:rPr>
        <w:t xml:space="preserve">A guide for Henrik and the Cordial team</w:t>
      </w:r>
    </w:p>
    <w:p>
      <w:pPr>
        <w:spacing w:before="0" w:after="0"/>
      </w:pPr>
      <w:r>
        <w:rPr>
          <w:rFonts w:ascii="Arial" w:cs="Arial" w:eastAsia="Arial" w:hAnsi="Arial"/>
          <w:color w:val="9CA3AF"/>
          <w:sz w:val="20"/>
          <w:szCs w:val="20"/>
        </w:rPr>
        <w:t xml:space="preserve">Value Cognition Canvas  ·  March 2026  ·  Confidential</w:t>
      </w:r>
    </w:p>
    <w:p>
      <w:pPr>
        <w:pBdr>
          <w:bottom w:val="single" w:color="E2E8F0" w:sz="4"/>
        </w:pBdr>
        <w:spacing w:before="160" w:after="160"/>
      </w:pPr>
      <w:r>
        <w:t xml:space="preserve"/>
      </w:r>
    </w:p>
    <w:p>
      <w:pPr>
        <w:pStyle w:val="Heading2"/>
        <w:spacing w:before="280" w:after="80"/>
      </w:pPr>
      <w:r>
        <w:rPr>
          <w:rFonts w:ascii="Arial" w:cs="Arial" w:eastAsia="Arial" w:hAnsi="Arial"/>
          <w:b/>
          <w:bCs/>
          <w:color w:val="1B2A4A"/>
          <w:sz w:val="26"/>
          <w:szCs w:val="26"/>
        </w:rPr>
        <w:t xml:space="preserve">What is VCC?</w:t>
      </w:r>
    </w:p>
    <w:p>
      <w:pPr>
        <w:spacing w:before="60" w:after="60"/>
      </w:pPr>
      <w:r>
        <w:rPr>
          <w:rFonts w:ascii="Arial" w:cs="Arial" w:eastAsia="Arial" w:hAnsi="Arial"/>
          <w:color w:val="374151"/>
          <w:sz w:val="22"/>
          <w:szCs w:val="22"/>
        </w:rPr>
        <w:t xml:space="preserve">The Value Cognition Canvas (VCC) is a board-level governance instrument for value stream analysis. It turns a discovery conversation — or a structured data input — into an operating model diagnostic in minutes, surfacing friction points, binding constraints, and delivery requirements.</w:t>
      </w:r>
    </w:p>
    <w:p>
      <w:pPr>
        <w:spacing w:before="120" w:after="0"/>
      </w:pPr>
      <w:r>
        <w:t xml:space="preserve"/>
      </w:r>
    </w:p>
    <w:p>
      <w:pPr>
        <w:spacing w:before="60" w:after="60"/>
      </w:pPr>
      <w:r>
        <w:rPr>
          <w:rFonts w:ascii="Arial" w:cs="Arial" w:eastAsia="Arial" w:hAnsi="Arial"/>
          <w:color w:val="374151"/>
          <w:sz w:val="22"/>
          <w:szCs w:val="22"/>
        </w:rPr>
        <w:t xml:space="preserve">It was built to answer a question that Business Architects and Business Analysts face constantly: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12"/>
              <w:bottom w:val="single" w:color="93C5FD" w:sz="4"/>
              <w:right w:val="single" w:color="93C5FD" w:sz="4"/>
            </w:tcBorders>
            <w:shd w:fill="EFF6FF" w:val="clear"/>
            <w:tcMar>
              <w:top w:type="dxa" w:w="120"/>
              <w:left w:type="dxa" w:w="200"/>
              <w:bottom w:type="dxa" w:w="120"/>
              <w:right w:type="dxa" w:w="200"/>
            </w:tcMar>
          </w:tcPr>
          <w:p>
            <w:pPr>
              <w:spacing w:before="0" w:after="40"/>
            </w:pPr>
            <w:r>
              <w:rPr>
                <w:rFonts w:ascii="Arial" w:cs="Arial" w:eastAsia="Arial" w:hAnsi="Arial"/>
                <w:b/>
                <w:bCs/>
                <w:color w:val="374151"/>
                <w:sz w:val="20"/>
                <w:szCs w:val="20"/>
              </w:rPr>
              <w:t xml:space="preserve">The core problem</w:t>
            </w:r>
          </w:p>
          <w:p>
            <w:pPr>
              <w:spacing w:before="0" w:after="0"/>
            </w:pPr>
            <w:r>
              <w:rPr>
                <w:rFonts w:ascii="Arial" w:cs="Arial" w:eastAsia="Arial" w:hAnsi="Arial"/>
                <w:color w:val="374151"/>
                <w:sz w:val="20"/>
                <w:szCs w:val="20"/>
              </w:rPr>
              <w:t xml:space="preserve">How do you generate a plausible operating model fast enough to actually influence the decisions that matter — before the moment has passed?</w:t>
            </w:r>
          </w:p>
        </w:tc>
      </w:tr>
    </w:tbl>
    <w:p>
      <w:pPr>
        <w:spacing w:before="120" w:after="0"/>
      </w:pPr>
      <w:r>
        <w:t xml:space="preserve"/>
      </w:r>
    </w:p>
    <w:p>
      <w:pPr>
        <w:spacing w:before="60" w:after="60"/>
      </w:pPr>
      <w:r>
        <w:rPr>
          <w:rFonts w:ascii="Arial" w:cs="Arial" w:eastAsia="Arial" w:hAnsi="Arial"/>
          <w:color w:val="374151"/>
          <w:sz w:val="22"/>
          <w:szCs w:val="22"/>
        </w:rPr>
        <w:t xml:space="preserve">VCC's answer: generate a plausible model in hours, not months. Use it to drive the conversation. Iterate as you learn. The model is not the output — the insight is.</w:t>
      </w:r>
    </w:p>
    <w:p>
      <w:pPr>
        <w:pBdr>
          <w:bottom w:val="single" w:color="E2E8F0" w:sz="4"/>
        </w:pBdr>
        <w:spacing w:before="160" w:after="160"/>
      </w:pPr>
      <w:r>
        <w:t xml:space="preserve"/>
      </w:r>
    </w:p>
    <w:p>
      <w:pPr>
        <w:pStyle w:val="Heading2"/>
        <w:spacing w:before="280" w:after="80"/>
      </w:pPr>
      <w:r>
        <w:rPr>
          <w:rFonts w:ascii="Arial" w:cs="Arial" w:eastAsia="Arial" w:hAnsi="Arial"/>
          <w:b/>
          <w:bCs/>
          <w:color w:val="1B2A4A"/>
          <w:sz w:val="26"/>
          <w:szCs w:val="26"/>
        </w:rPr>
        <w:t xml:space="preserve">What You Have Access To</w:t>
      </w:r>
    </w:p>
    <w:p>
      <w:pPr>
        <w:spacing w:before="60" w:after="60"/>
      </w:pPr>
      <w:r>
        <w:rPr>
          <w:rFonts w:ascii="Arial" w:cs="Arial" w:eastAsia="Arial" w:hAnsi="Arial"/>
          <w:color w:val="374151"/>
          <w:sz w:val="22"/>
          <w:szCs w:val="22"/>
        </w:rPr>
        <w:t xml:space="preserve">Terry has given you access to the live VCC tool and two JSON files that represent the Ofluv Industrial Vehicles SAP S/4HANA transformation scenario. These are your starting point for exploring the tool.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6360"/>
            <w:tcBorders>
              <w:top w:val="single" w:color="E2E8F0" w:sz="1"/>
              <w:left w:val="single" w:color="E2E8F0" w:sz="1"/>
              <w:bottom w:val="single" w:color="E2E8F0" w:sz="1"/>
              <w:right w:val="single" w:color="E2E8F0"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What it is</w:t>
            </w:r>
          </w:p>
        </w:tc>
      </w:tr>
      <w:tr>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1B2A4A"/>
                <w:sz w:val="20"/>
                <w:szCs w:val="20"/>
              </w:rPr>
              <w:t xml:space="preserve">VCC tool URL</w:t>
            </w:r>
          </w:p>
        </w:tc>
        <w:tc>
          <w:tcPr>
            <w:tcW w:type="dxa" w:w="6360"/>
            <w:tcBorders>
              <w:top w:val="single" w:color="E2E8F0" w:sz="1"/>
              <w:left w:val="single" w:color="E2E8F0" w:sz="1"/>
              <w:bottom w:val="single" w:color="E2E8F0" w:sz="1"/>
              <w:right w:val="single" w:color="E2E8F0" w:sz="1"/>
            </w:tcBorders>
            <w:shd w:fill="FAFAFA" w:val="clear"/>
            <w:tcMar>
              <w:top w:type="dxa" w:w="100"/>
              <w:left w:type="dxa" w:w="160"/>
              <w:bottom w:type="dxa" w:w="100"/>
              <w:right w:type="dxa" w:w="160"/>
            </w:tcMar>
          </w:tcPr>
          <w:p>
            <w:r>
              <w:rPr>
                <w:rFonts w:ascii="Arial" w:cs="Arial" w:eastAsia="Arial" w:hAnsi="Arial"/>
                <w:color w:val="374151"/>
                <w:sz w:val="20"/>
                <w:szCs w:val="20"/>
              </w:rPr>
              <w:t xml:space="preserve">The live tool — ask Terry for the current production URL</w:t>
            </w:r>
          </w:p>
        </w:tc>
      </w:tr>
      <w:tr>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Courier New" w:cs="Courier New" w:eastAsia="Courier New" w:hAnsi="Courier New"/>
                <w:b/>
                <w:bCs/>
                <w:color w:val="1B2A4A"/>
                <w:sz w:val="20"/>
                <w:szCs w:val="20"/>
              </w:rPr>
              <w:t xml:space="preserve">ofluv-scaffold.json</w:t>
            </w:r>
          </w:p>
        </w:tc>
        <w:tc>
          <w:tcPr>
            <w:tcW w:type="dxa" w:w="6360"/>
            <w:tcBorders>
              <w:top w:val="single" w:color="E2E8F0" w:sz="1"/>
              <w:left w:val="single" w:color="E2E8F0" w:sz="1"/>
              <w:bottom w:val="single" w:color="E2E8F0" w:sz="1"/>
              <w:right w:val="single" w:color="E2E8F0" w:sz="1"/>
            </w:tcBorders>
            <w:shd w:fill="FAFAFA" w:val="clear"/>
            <w:tcMar>
              <w:top w:type="dxa" w:w="100"/>
              <w:left w:type="dxa" w:w="160"/>
              <w:bottom w:type="dxa" w:w="100"/>
              <w:right w:type="dxa" w:w="160"/>
            </w:tcMar>
          </w:tcPr>
          <w:p>
            <w:r>
              <w:rPr>
                <w:rFonts w:ascii="Arial" w:cs="Arial" w:eastAsia="Arial" w:hAnsi="Arial"/>
                <w:color w:val="374151"/>
                <w:sz w:val="20"/>
                <w:szCs w:val="20"/>
              </w:rPr>
              <w:t xml:space="preserve">The operating model scaffold — value streams, activities, capabilities, roles, metrics. 4 value streams fully populated: Order to Cash, Purchase to Pay, Demand &amp; Supply Planning, Financial Close &amp; Reporting.</w:t>
            </w:r>
          </w:p>
        </w:tc>
      </w:tr>
      <w:tr>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Courier New" w:cs="Courier New" w:eastAsia="Courier New" w:hAnsi="Courier New"/>
                <w:b/>
                <w:bCs/>
                <w:color w:val="1B2A4A"/>
                <w:sz w:val="20"/>
                <w:szCs w:val="20"/>
              </w:rPr>
              <w:t xml:space="preserve">ofluv-heatmap-otc.json</w:t>
            </w:r>
          </w:p>
        </w:tc>
        <w:tc>
          <w:tcPr>
            <w:tcW w:type="dxa" w:w="6360"/>
            <w:tcBorders>
              <w:top w:val="single" w:color="E2E8F0" w:sz="1"/>
              <w:left w:val="single" w:color="E2E8F0" w:sz="1"/>
              <w:bottom w:val="single" w:color="E2E8F0" w:sz="1"/>
              <w:right w:val="single" w:color="E2E8F0" w:sz="1"/>
            </w:tcBorders>
            <w:shd w:fill="FAFAFA" w:val="clear"/>
            <w:tcMar>
              <w:top w:type="dxa" w:w="100"/>
              <w:left w:type="dxa" w:w="160"/>
              <w:bottom w:type="dxa" w:w="100"/>
              <w:right w:type="dxa" w:w="160"/>
            </w:tcMar>
          </w:tcPr>
          <w:p>
            <w:r>
              <w:rPr>
                <w:rFonts w:ascii="Arial" w:cs="Arial" w:eastAsia="Arial" w:hAnsi="Arial"/>
                <w:color w:val="374151"/>
                <w:sz w:val="20"/>
                <w:szCs w:val="20"/>
              </w:rPr>
              <w:t xml:space="preserve">The friction observations (SBRs) for the Order to Cash stream — 6 strategic requirements with scores, rationale, and a binding constraint identified. This is what drives the Transformation layer.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4"/>
              <w:left w:val="single" w:color="FCD34D" w:sz="12"/>
              <w:bottom w:val="single" w:color="FCD34D" w:sz="4"/>
              <w:right w:val="single" w:color="FCD34D" w:sz="4"/>
            </w:tcBorders>
            <w:shd w:fill="FEF3C7" w:val="clear"/>
            <w:tcMar>
              <w:top w:type="dxa" w:w="120"/>
              <w:left w:type="dxa" w:w="200"/>
              <w:bottom w:type="dxa" w:w="120"/>
              <w:right w:type="dxa" w:w="200"/>
            </w:tcMar>
          </w:tcPr>
          <w:p>
            <w:pPr>
              <w:spacing w:before="0" w:after="40"/>
            </w:pPr>
            <w:r>
              <w:rPr>
                <w:rFonts w:ascii="Arial" w:cs="Arial" w:eastAsia="Arial" w:hAnsi="Arial"/>
                <w:b/>
                <w:bCs/>
                <w:color w:val="374151"/>
                <w:sz w:val="20"/>
                <w:szCs w:val="20"/>
              </w:rPr>
              <w:t xml:space="preserve">⚠️  Note on the other value streams</w:t>
            </w:r>
          </w:p>
          <w:p>
            <w:pPr>
              <w:spacing w:before="0" w:after="0"/>
            </w:pPr>
            <w:r>
              <w:rPr>
                <w:rFonts w:ascii="Arial" w:cs="Arial" w:eastAsia="Arial" w:hAnsi="Arial"/>
                <w:color w:val="374151"/>
                <w:sz w:val="20"/>
                <w:szCs w:val="20"/>
              </w:rPr>
              <w:t xml:space="preserve">The scaffold contains 12 value streams in total. Only 4 are fully populated — the other 8 appear as named stubs in the Network view with no activities yet. This is intentional: the tool is designed to work incrementally. The OTC stream is the richest starting point.</w:t>
            </w:r>
          </w:p>
        </w:tc>
      </w:tr>
    </w:tbl>
    <w:p>
      <w:pPr>
        <w:pBdr>
          <w:bottom w:val="single" w:color="E2E8F0" w:sz="4"/>
        </w:pBdr>
        <w:spacing w:before="160" w:after="160"/>
      </w:pPr>
      <w:r>
        <w:t xml:space="preserve"/>
      </w:r>
    </w:p>
    <w:p>
      <w:pPr>
        <w:pStyle w:val="Heading2"/>
        <w:spacing w:before="280" w:after="80"/>
      </w:pPr>
      <w:r>
        <w:rPr>
          <w:rFonts w:ascii="Arial" w:cs="Arial" w:eastAsia="Arial" w:hAnsi="Arial"/>
          <w:b/>
          <w:bCs/>
          <w:color w:val="1B2A4A"/>
          <w:sz w:val="26"/>
          <w:szCs w:val="26"/>
        </w:rPr>
        <w:t xml:space="preserve">How to Load the Files</w:t>
      </w:r>
    </w:p>
    <w:p>
      <w:pPr>
        <w:spacing w:before="60" w:after="60"/>
      </w:pPr>
      <w:r>
        <w:rPr>
          <w:rFonts w:ascii="Arial" w:cs="Arial" w:eastAsia="Arial" w:hAnsi="Arial"/>
          <w:color w:val="374151"/>
          <w:sz w:val="22"/>
          <w:szCs w:val="22"/>
        </w:rPr>
        <w:t xml:space="preserve">VCC uses a bundle format — a single JSON file containing both the scaffold and heatmap. You need to combine the two files before loading. Here's how: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2E8F0" w:sz="1"/>
              <w:left w:val="single" w:color="E2E8F0" w:sz="1"/>
              <w:bottom w:val="single" w:color="E2E8F0" w:sz="1"/>
              <w:right w:val="single" w:color="E2E8F0"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760"/>
            <w:tcBorders>
              <w:top w:val="single" w:color="E2E8F0" w:sz="1"/>
              <w:left w:val="single" w:color="E2E8F0" w:sz="1"/>
              <w:bottom w:val="single" w:color="E2E8F0" w:sz="1"/>
              <w:right w:val="single" w:color="E2E8F0" w:sz="1"/>
            </w:tcBorders>
            <w:shd w:fill="FAFAFA" w:val="clear"/>
            <w:tcMar>
              <w:top w:type="dxa" w:w="120"/>
              <w:left w:type="dxa" w:w="200"/>
              <w:bottom w:type="dxa" w:w="120"/>
              <w:right w:type="dxa" w:w="200"/>
            </w:tcMar>
          </w:tcPr>
          <w:p>
            <w:pPr>
              <w:spacing w:before="0" w:after="60"/>
            </w:pPr>
            <w:r>
              <w:rPr>
                <w:rFonts w:ascii="Arial" w:cs="Arial" w:eastAsia="Arial" w:hAnsi="Arial"/>
                <w:b/>
                <w:bCs/>
                <w:color w:val="1B2A4A"/>
                <w:sz w:val="24"/>
                <w:szCs w:val="24"/>
              </w:rPr>
              <w:t xml:space="preserve">Open the tool and click '+ New Discovery'</w:t>
            </w:r>
          </w:p>
          <w:p>
            <w:pPr>
              <w:spacing w:before="0" w:after="0"/>
            </w:pPr>
            <w:r>
              <w:rPr>
                <w:rFonts w:ascii="Arial" w:cs="Arial" w:eastAsia="Arial" w:hAnsi="Arial"/>
                <w:color w:val="374151"/>
                <w:sz w:val="21"/>
                <w:szCs w:val="21"/>
              </w:rPr>
              <w:t xml:space="preserve">This opens the Discovery Intake form. You don't need to fill in the form — you're going to load a pre-built bundle instead.</w:t>
            </w:r>
          </w:p>
        </w:tc>
      </w:tr>
      <w:tr>
        <w:tc>
          <w:tcPr>
            <w:tcW w:type="dxa" w:w="600"/>
            <w:tcBorders>
              <w:top w:val="single" w:color="E2E8F0" w:sz="1"/>
              <w:left w:val="single" w:color="E2E8F0" w:sz="1"/>
              <w:bottom w:val="single" w:color="E2E8F0" w:sz="1"/>
              <w:right w:val="single" w:color="E2E8F0"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760"/>
            <w:tcBorders>
              <w:top w:val="single" w:color="E2E8F0" w:sz="1"/>
              <w:left w:val="single" w:color="E2E8F0" w:sz="1"/>
              <w:bottom w:val="single" w:color="E2E8F0" w:sz="1"/>
              <w:right w:val="single" w:color="E2E8F0" w:sz="1"/>
            </w:tcBorders>
            <w:shd w:fill="FAFAFA" w:val="clear"/>
            <w:tcMar>
              <w:top w:type="dxa" w:w="120"/>
              <w:left w:type="dxa" w:w="200"/>
              <w:bottom w:type="dxa" w:w="120"/>
              <w:right w:type="dxa" w:w="200"/>
            </w:tcMar>
          </w:tcPr>
          <w:p>
            <w:pPr>
              <w:spacing w:before="0" w:after="60"/>
            </w:pPr>
            <w:r>
              <w:rPr>
                <w:rFonts w:ascii="Arial" w:cs="Arial" w:eastAsia="Arial" w:hAnsi="Arial"/>
                <w:b/>
                <w:bCs/>
                <w:color w:val="1B2A4A"/>
                <w:sz w:val="24"/>
                <w:szCs w:val="24"/>
              </w:rPr>
              <w:t xml:space="preserve">You'll need a bundle file</w:t>
            </w:r>
          </w:p>
          <w:p>
            <w:pPr>
              <w:spacing w:before="0" w:after="80"/>
            </w:pPr>
            <w:r>
              <w:rPr>
                <w:rFonts w:ascii="Arial" w:cs="Arial" w:eastAsia="Arial" w:hAnsi="Arial"/>
                <w:color w:val="374151"/>
                <w:sz w:val="21"/>
                <w:szCs w:val="21"/>
              </w:rPr>
              <w:t xml:space="preserve">A VCC bundle is a JSON file with this structure: { bundleVersion, createdAt, scaffold, heatmaps: [] }. Terry can provide you with a pre-built Ofluv bundle that combines both JSON files. Ask him for ofluv-bundle.json.</w:t>
            </w:r>
          </w:p>
          <w:p>
            <w:pPr>
              <w:spacing w:before="0" w:after="0"/>
            </w:pPr>
            <w:r>
              <w:rPr>
                <w:rFonts w:ascii="Arial" w:cs="Arial" w:eastAsia="Arial" w:hAnsi="Arial"/>
                <w:b/>
                <w:bCs/>
                <w:color w:val="2563EB"/>
                <w:sz w:val="20"/>
                <w:szCs w:val="20"/>
              </w:rPr>
              <w:t xml:space="preserve">→ </w:t>
            </w:r>
            <w:r>
              <w:rPr>
                <w:rFonts w:ascii="Arial" w:cs="Arial" w:eastAsia="Arial" w:hAnsi="Arial"/>
                <w:color w:val="4B5563"/>
                <w:sz w:val="20"/>
                <w:szCs w:val="20"/>
              </w:rPr>
              <w:t xml:space="preserve">Alternatively, complete the Discovery Intake flow with your own content to generate a fresh scaffold and heatmap.</w:t>
            </w:r>
          </w:p>
        </w:tc>
      </w:tr>
      <w:tr>
        <w:tc>
          <w:tcPr>
            <w:tcW w:type="dxa" w:w="600"/>
            <w:tcBorders>
              <w:top w:val="single" w:color="E2E8F0" w:sz="1"/>
              <w:left w:val="single" w:color="E2E8F0" w:sz="1"/>
              <w:bottom w:val="single" w:color="E2E8F0" w:sz="1"/>
              <w:right w:val="single" w:color="E2E8F0"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760"/>
            <w:tcBorders>
              <w:top w:val="single" w:color="E2E8F0" w:sz="1"/>
              <w:left w:val="single" w:color="E2E8F0" w:sz="1"/>
              <w:bottom w:val="single" w:color="E2E8F0" w:sz="1"/>
              <w:right w:val="single" w:color="E2E8F0" w:sz="1"/>
            </w:tcBorders>
            <w:shd w:fill="FAFAFA" w:val="clear"/>
            <w:tcMar>
              <w:top w:type="dxa" w:w="120"/>
              <w:left w:type="dxa" w:w="200"/>
              <w:bottom w:type="dxa" w:w="120"/>
              <w:right w:type="dxa" w:w="200"/>
            </w:tcMar>
          </w:tcPr>
          <w:p>
            <w:pPr>
              <w:spacing w:before="0" w:after="60"/>
            </w:pPr>
            <w:r>
              <w:rPr>
                <w:rFonts w:ascii="Arial" w:cs="Arial" w:eastAsia="Arial" w:hAnsi="Arial"/>
                <w:b/>
                <w:bCs/>
                <w:color w:val="1B2A4A"/>
                <w:sz w:val="24"/>
                <w:szCs w:val="24"/>
              </w:rPr>
              <w:t xml:space="preserve">Click 'Load previous' in the Assess Friction step</w:t>
            </w:r>
          </w:p>
          <w:p>
            <w:pPr>
              <w:spacing w:before="0" w:after="0"/>
            </w:pPr>
            <w:r>
              <w:rPr>
                <w:rFonts w:ascii="Arial" w:cs="Arial" w:eastAsia="Arial" w:hAnsi="Arial"/>
                <w:color w:val="374151"/>
                <w:sz w:val="21"/>
                <w:szCs w:val="21"/>
              </w:rPr>
              <w:t xml:space="preserve">Once you have a bundle file, click 'Load previous' in the toolbar. Select your bundle JSON. The scaffold and heatmap load together — the canvas populates automatically.</w:t>
            </w:r>
          </w:p>
        </w:tc>
      </w:tr>
      <w:tr>
        <w:tc>
          <w:tcPr>
            <w:tcW w:type="dxa" w:w="600"/>
            <w:tcBorders>
              <w:top w:val="single" w:color="E2E8F0" w:sz="1"/>
              <w:left w:val="single" w:color="E2E8F0" w:sz="1"/>
              <w:bottom w:val="single" w:color="E2E8F0" w:sz="1"/>
              <w:right w:val="single" w:color="E2E8F0" w:sz="1"/>
            </w:tcBorders>
            <w:shd w:fill="1B2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760"/>
            <w:tcBorders>
              <w:top w:val="single" w:color="E2E8F0" w:sz="1"/>
              <w:left w:val="single" w:color="E2E8F0" w:sz="1"/>
              <w:bottom w:val="single" w:color="E2E8F0" w:sz="1"/>
              <w:right w:val="single" w:color="E2E8F0" w:sz="1"/>
            </w:tcBorders>
            <w:shd w:fill="FAFAFA" w:val="clear"/>
            <w:tcMar>
              <w:top w:type="dxa" w:w="120"/>
              <w:left w:type="dxa" w:w="200"/>
              <w:bottom w:type="dxa" w:w="120"/>
              <w:right w:type="dxa" w:w="200"/>
            </w:tcMar>
          </w:tcPr>
          <w:p>
            <w:pPr>
              <w:spacing w:before="0" w:after="60"/>
            </w:pPr>
            <w:r>
              <w:rPr>
                <w:rFonts w:ascii="Arial" w:cs="Arial" w:eastAsia="Arial" w:hAnsi="Arial"/>
                <w:b/>
                <w:bCs/>
                <w:color w:val="1B2A4A"/>
                <w:sz w:val="24"/>
                <w:szCs w:val="24"/>
              </w:rPr>
              <w:t xml:space="preserve">Navigate to the Stage view</w:t>
            </w:r>
          </w:p>
          <w:p>
            <w:pPr>
              <w:spacing w:before="0" w:after="80"/>
            </w:pPr>
            <w:r>
              <w:rPr>
                <w:rFonts w:ascii="Arial" w:cs="Arial" w:eastAsia="Arial" w:hAnsi="Arial"/>
                <w:color w:val="374151"/>
                <w:sz w:val="21"/>
                <w:szCs w:val="21"/>
              </w:rPr>
              <w:t xml:space="preserve">Click any value stream node in the Network view to enter the Stage view. Order to Cash is the recommended starting point — it has the richest content and all 6 SBRs loaded.</w:t>
            </w:r>
          </w:p>
          <w:p>
            <w:pPr>
              <w:spacing w:before="0" w:after="0"/>
            </w:pPr>
            <w:r>
              <w:rPr>
                <w:rFonts w:ascii="Arial" w:cs="Arial" w:eastAsia="Arial" w:hAnsi="Arial"/>
                <w:b/>
                <w:bCs/>
                <w:color w:val="2563EB"/>
                <w:sz w:val="20"/>
                <w:szCs w:val="20"/>
              </w:rPr>
              <w:t xml:space="preserve">→ </w:t>
            </w:r>
            <w:r>
              <w:rPr>
                <w:rFonts w:ascii="Arial" w:cs="Arial" w:eastAsia="Arial" w:hAnsi="Arial"/>
                <w:color w:val="4B5563"/>
                <w:sz w:val="20"/>
                <w:szCs w:val="20"/>
              </w:rPr>
              <w:t xml:space="preserve">Toggle 'Transformation' on in the toolbar to see friction observations and generate user stories.</w:t>
            </w:r>
          </w:p>
        </w:tc>
      </w:tr>
    </w:tbl>
    <w:p>
      <w:pPr>
        <w:pBdr>
          <w:bottom w:val="single" w:color="E2E8F0" w:sz="4"/>
        </w:pBdr>
        <w:spacing w:before="160" w:after="160"/>
      </w:pPr>
      <w:r>
        <w:t xml:space="preserve"/>
      </w:r>
    </w:p>
    <w:p>
      <w:pPr>
        <w:pStyle w:val="Heading2"/>
        <w:spacing w:before="280" w:after="80"/>
      </w:pPr>
      <w:r>
        <w:rPr>
          <w:rFonts w:ascii="Arial" w:cs="Arial" w:eastAsia="Arial" w:hAnsi="Arial"/>
          <w:b/>
          <w:bCs/>
          <w:color w:val="1B2A4A"/>
          <w:sz w:val="26"/>
          <w:szCs w:val="26"/>
        </w:rPr>
        <w:t xml:space="preserve">Exploring the Tool</w:t>
      </w:r>
    </w:p>
    <w:p>
      <w:pPr>
        <w:spacing w:before="200" w:after="60"/>
      </w:pPr>
      <w:r>
        <w:rPr>
          <w:rFonts w:ascii="Arial" w:cs="Arial" w:eastAsia="Arial" w:hAnsi="Arial"/>
          <w:b/>
          <w:bCs/>
          <w:color w:val="374151"/>
          <w:sz w:val="22"/>
          <w:szCs w:val="22"/>
        </w:rPr>
        <w:t xml:space="preserve">Network View</w:t>
      </w:r>
    </w:p>
    <w:p>
      <w:pPr>
        <w:spacing w:before="60" w:after="60"/>
      </w:pPr>
      <w:r>
        <w:rPr>
          <w:rFonts w:ascii="Arial" w:cs="Arial" w:eastAsia="Arial" w:hAnsi="Arial"/>
          <w:color w:val="374151"/>
          <w:sz w:val="22"/>
          <w:szCs w:val="22"/>
        </w:rPr>
        <w:t xml:space="preserve">The Network view shows all value streams and how they connect. Nodes with friction observations are highlighted. The binding constraint stream is marked in red — this is the highest-leverage point in the operating model.</w:t>
      </w:r>
    </w:p>
    <w:p>
      <w:pPr>
        <w:spacing w:before="80" w:after="0"/>
      </w:pPr>
      <w:r>
        <w:t xml:space="preserve"/>
      </w:r>
    </w:p>
    <w:p>
      <w:pPr>
        <w:spacing w:before="200" w:after="60"/>
      </w:pPr>
      <w:r>
        <w:rPr>
          <w:rFonts w:ascii="Arial" w:cs="Arial" w:eastAsia="Arial" w:hAnsi="Arial"/>
          <w:b/>
          <w:bCs/>
          <w:color w:val="374151"/>
          <w:sz w:val="22"/>
          <w:szCs w:val="22"/>
        </w:rPr>
        <w:t xml:space="preserve">Stage View</w:t>
      </w:r>
    </w:p>
    <w:p>
      <w:pPr>
        <w:spacing w:before="60" w:after="60"/>
      </w:pPr>
      <w:r>
        <w:rPr>
          <w:rFonts w:ascii="Arial" w:cs="Arial" w:eastAsia="Arial" w:hAnsi="Arial"/>
          <w:color w:val="374151"/>
          <w:sz w:val="22"/>
          <w:szCs w:val="22"/>
        </w:rPr>
        <w:t xml:space="preserve">Click any value stream to enter the Stage view — a left-to-right flow of stages with entry/exit states, metrics, capabilities, and roles. The toolbar at the top controls what's visible:</w:t>
      </w:r>
    </w:p>
    <w:p>
      <w:pPr>
        <w:spacing w:before="60" w:after="0"/>
      </w:pPr>
      <w:r>
        <w:t xml:space="preserve"/>
      </w:r>
    </w:p>
    <w:p>
      <w:pPr>
        <w:pStyle w:val="ListParagraph"/>
        <w:numPr>
          <w:ilvl w:val="0"/>
          <w:numId w:val="2"/>
        </w:numPr>
        <w:spacing w:before="40" w:after="40"/>
      </w:pPr>
      <w:r>
        <w:rPr>
          <w:rFonts w:ascii="Arial" w:cs="Arial" w:eastAsia="Arial" w:hAnsi="Arial"/>
          <w:color w:val="374151"/>
          <w:sz w:val="22"/>
          <w:szCs w:val="22"/>
        </w:rPr>
        <w:t xml:space="preserve">Structure — shows entry/exit states and metrics</w:t>
      </w:r>
    </w:p>
    <w:p>
      <w:pPr>
        <w:pStyle w:val="ListParagraph"/>
        <w:numPr>
          <w:ilvl w:val="0"/>
          <w:numId w:val="2"/>
        </w:numPr>
        <w:spacing w:before="40" w:after="40"/>
      </w:pPr>
      <w:r>
        <w:rPr>
          <w:rFonts w:ascii="Arial" w:cs="Arial" w:eastAsia="Arial" w:hAnsi="Arial"/>
          <w:color w:val="374151"/>
          <w:sz w:val="22"/>
          <w:szCs w:val="22"/>
        </w:rPr>
        <w:t xml:space="preserve">Transformation — shows friction observations (SBRs) and user stories</w:t>
      </w:r>
    </w:p>
    <w:p>
      <w:pPr>
        <w:pStyle w:val="ListParagraph"/>
        <w:numPr>
          <w:ilvl w:val="0"/>
          <w:numId w:val="2"/>
        </w:numPr>
        <w:spacing w:before="40" w:after="40"/>
      </w:pPr>
      <w:r>
        <w:rPr>
          <w:rFonts w:ascii="Arial" w:cs="Arial" w:eastAsia="Arial" w:hAnsi="Arial"/>
          <w:color w:val="374151"/>
          <w:sz w:val="22"/>
          <w:szCs w:val="22"/>
        </w:rPr>
        <w:t xml:space="preserve">Roles / Activities / Info / Tech — the PPIT layers, toggled individually</w:t>
      </w:r>
    </w:p>
    <w:p>
      <w:pPr>
        <w:pStyle w:val="ListParagraph"/>
        <w:numPr>
          <w:ilvl w:val="0"/>
          <w:numId w:val="2"/>
        </w:numPr>
        <w:spacing w:before="40" w:after="40"/>
      </w:pPr>
      <w:r>
        <w:rPr>
          <w:rFonts w:ascii="Arial" w:cs="Arial" w:eastAsia="Arial" w:hAnsi="Arial"/>
          <w:color w:val="374151"/>
          <w:sz w:val="22"/>
          <w:szCs w:val="22"/>
        </w:rPr>
        <w:t xml:space="preserve">Execution / Governing / Valid — filter stages by type</w:t>
      </w:r>
    </w:p>
    <w:p>
      <w:pPr>
        <w:spacing w:before="80" w:after="0"/>
      </w:pPr>
      <w:r>
        <w:t xml:space="preserve"/>
      </w:r>
    </w:p>
    <w:p>
      <w:pPr>
        <w:spacing w:before="200" w:after="60"/>
      </w:pPr>
      <w:r>
        <w:rPr>
          <w:rFonts w:ascii="Arial" w:cs="Arial" w:eastAsia="Arial" w:hAnsi="Arial"/>
          <w:b/>
          <w:bCs/>
          <w:color w:val="374151"/>
          <w:sz w:val="22"/>
          <w:szCs w:val="22"/>
        </w:rPr>
        <w:t xml:space="preserve">Friction Panel</w:t>
      </w:r>
    </w:p>
    <w:p>
      <w:pPr>
        <w:spacing w:before="60" w:after="60"/>
      </w:pPr>
      <w:r>
        <w:rPr>
          <w:rFonts w:ascii="Arial" w:cs="Arial" w:eastAsia="Arial" w:hAnsi="Arial"/>
          <w:color w:val="374151"/>
          <w:sz w:val="22"/>
          <w:szCs w:val="22"/>
        </w:rPr>
        <w:t xml:space="preserve">Click any highlighted stage to open the Friction Panel on the right. This shows the full rationale for each SBR, its intensity score, confidence level, and the throughput impact of the binding constraint.</w:t>
      </w:r>
    </w:p>
    <w:p>
      <w:pPr>
        <w:spacing w:before="80" w:after="0"/>
      </w:pPr>
      <w:r>
        <w:t xml:space="preserve"/>
      </w:r>
    </w:p>
    <w:p>
      <w:pPr>
        <w:spacing w:before="200" w:after="60"/>
      </w:pPr>
      <w:r>
        <w:rPr>
          <w:rFonts w:ascii="Arial" w:cs="Arial" w:eastAsia="Arial" w:hAnsi="Arial"/>
          <w:b/>
          <w:bCs/>
          <w:color w:val="374151"/>
          <w:sz w:val="22"/>
          <w:szCs w:val="22"/>
        </w:rPr>
        <w:t xml:space="preserve">Transformation Layer — User Story Generation</w:t>
      </w:r>
    </w:p>
    <w:p>
      <w:pPr>
        <w:spacing w:before="60" w:after="60"/>
      </w:pPr>
      <w:r>
        <w:rPr>
          <w:rFonts w:ascii="Arial" w:cs="Arial" w:eastAsia="Arial" w:hAnsi="Arial"/>
          <w:color w:val="374151"/>
          <w:sz w:val="22"/>
          <w:szCs w:val="22"/>
        </w:rPr>
        <w:t xml:space="preserve">With the Transformation toggle on, each SBR card shows a 'Generate User Story' button. Click it to have the AI generate a well-formed Agile user story directly from the SBR rationale and the roles associated with that capability. Stories include:</w:t>
      </w:r>
    </w:p>
    <w:p>
      <w:pPr>
        <w:spacing w:before="60" w:after="0"/>
      </w:pPr>
      <w:r>
        <w:t xml:space="preserve"/>
      </w:r>
    </w:p>
    <w:p>
      <w:pPr>
        <w:pStyle w:val="ListParagraph"/>
        <w:numPr>
          <w:ilvl w:val="0"/>
          <w:numId w:val="2"/>
        </w:numPr>
        <w:spacing w:before="40" w:after="40"/>
      </w:pPr>
      <w:r>
        <w:rPr>
          <w:rFonts w:ascii="Arial" w:cs="Arial" w:eastAsia="Arial" w:hAnsi="Arial"/>
          <w:color w:val="374151"/>
          <w:sz w:val="22"/>
          <w:szCs w:val="22"/>
        </w:rPr>
        <w:t xml:space="preserve">As a / I want to / So that — in line-broken format</w:t>
      </w:r>
    </w:p>
    <w:p>
      <w:pPr>
        <w:pStyle w:val="ListParagraph"/>
        <w:numPr>
          <w:ilvl w:val="0"/>
          <w:numId w:val="2"/>
        </w:numPr>
        <w:spacing w:before="40" w:after="40"/>
      </w:pPr>
      <w:r>
        <w:rPr>
          <w:rFonts w:ascii="Arial" w:cs="Arial" w:eastAsia="Arial" w:hAnsi="Arial"/>
          <w:color w:val="374151"/>
          <w:sz w:val="22"/>
          <w:szCs w:val="22"/>
        </w:rPr>
        <w:t xml:space="preserve">Acceptance Criteria — 3–5 testable binary conditions</w:t>
      </w:r>
    </w:p>
    <w:p>
      <w:pPr>
        <w:pStyle w:val="ListParagraph"/>
        <w:numPr>
          <w:ilvl w:val="0"/>
          <w:numId w:val="2"/>
        </w:numPr>
        <w:spacing w:before="40" w:after="40"/>
      </w:pPr>
      <w:r>
        <w:rPr>
          <w:rFonts w:ascii="Arial" w:cs="Arial" w:eastAsia="Arial" w:hAnsi="Arial"/>
          <w:color w:val="374151"/>
          <w:sz w:val="22"/>
          <w:szCs w:val="22"/>
        </w:rPr>
        <w:t xml:space="preserve">Story points (Fibonacci) and priority derived from friction intensity score</w:t>
      </w:r>
    </w:p>
    <w:p>
      <w:pPr>
        <w:pStyle w:val="ListParagraph"/>
        <w:numPr>
          <w:ilvl w:val="0"/>
          <w:numId w:val="2"/>
        </w:numPr>
        <w:spacing w:before="40" w:after="40"/>
      </w:pPr>
      <w:r>
        <w:rPr>
          <w:rFonts w:ascii="Arial" w:cs="Arial" w:eastAsia="Arial" w:hAnsi="Arial"/>
          <w:color w:val="374151"/>
          <w:sz w:val="22"/>
          <w:szCs w:val="22"/>
        </w:rPr>
        <w:t xml:space="preserve">Status lifecycle — click the pill to cycle: Draft → Ready → Sprint → Done</w:t>
      </w:r>
    </w:p>
    <w:p>
      <w:pPr>
        <w:pStyle w:val="ListParagraph"/>
        <w:numPr>
          <w:ilvl w:val="0"/>
          <w:numId w:val="2"/>
        </w:numPr>
        <w:spacing w:before="40" w:after="40"/>
      </w:pPr>
      <w:r>
        <w:rPr>
          <w:rFonts w:ascii="Arial" w:cs="Arial" w:eastAsia="Arial" w:hAnsi="Arial"/>
          <w:color w:val="374151"/>
          <w:sz w:val="22"/>
          <w:szCs w:val="22"/>
        </w:rPr>
        <w:t xml:space="preserve">Edit button to refine any field inline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B4FC" w:sz="4"/>
              <w:left w:val="single" w:color="A5B4FC" w:sz="12"/>
              <w:bottom w:val="single" w:color="A5B4FC" w:sz="4"/>
              <w:right w:val="single" w:color="A5B4FC" w:sz="4"/>
            </w:tcBorders>
            <w:shd w:fill="EEF2FF" w:val="clear"/>
            <w:tcMar>
              <w:top w:type="dxa" w:w="120"/>
              <w:left w:type="dxa" w:w="200"/>
              <w:bottom w:type="dxa" w:w="120"/>
              <w:right w:type="dxa" w:w="200"/>
            </w:tcMar>
          </w:tcPr>
          <w:p>
            <w:pPr>
              <w:spacing w:before="0" w:after="40"/>
            </w:pPr>
            <w:r>
              <w:rPr>
                <w:rFonts w:ascii="Arial" w:cs="Arial" w:eastAsia="Arial" w:hAnsi="Arial"/>
                <w:b/>
                <w:bCs/>
                <w:color w:val="374151"/>
                <w:sz w:val="20"/>
                <w:szCs w:val="20"/>
              </w:rPr>
              <w:t xml:space="preserve">Export to Jira</w:t>
            </w:r>
          </w:p>
          <w:p>
            <w:pPr>
              <w:spacing w:before="0" w:after="0"/>
            </w:pPr>
            <w:r>
              <w:rPr>
                <w:rFonts w:ascii="Arial" w:cs="Arial" w:eastAsia="Arial" w:hAnsi="Arial"/>
                <w:color w:val="374151"/>
                <w:sz w:val="20"/>
                <w:szCs w:val="20"/>
              </w:rPr>
              <w:t xml:space="preserve">Once you've generated stories, an 'Export N Stories' button appears in the toolbar. This downloads a CSV formatted for Jira import, including Story ID, SBR ID, Capability, story body, acceptance criteria, points, and priority.</w:t>
            </w:r>
          </w:p>
        </w:tc>
      </w:tr>
    </w:tbl>
    <w:p>
      <w:pPr>
        <w:pBdr>
          <w:bottom w:val="single" w:color="E2E8F0" w:sz="4"/>
        </w:pBdr>
        <w:spacing w:before="160" w:after="160"/>
      </w:pPr>
      <w:r>
        <w:t xml:space="preserve"/>
      </w:r>
    </w:p>
    <w:p>
      <w:pPr>
        <w:pStyle w:val="Heading2"/>
        <w:spacing w:before="280" w:after="80"/>
      </w:pPr>
      <w:r>
        <w:rPr>
          <w:rFonts w:ascii="Arial" w:cs="Arial" w:eastAsia="Arial" w:hAnsi="Arial"/>
          <w:b/>
          <w:bCs/>
          <w:color w:val="1B2A4A"/>
          <w:sz w:val="26"/>
          <w:szCs w:val="26"/>
        </w:rPr>
        <w:t xml:space="preserve">Loading Anonymised Volvo Content</w:t>
      </w:r>
    </w:p>
    <w:p>
      <w:pPr>
        <w:spacing w:before="60" w:after="60"/>
      </w:pPr>
      <w:r>
        <w:rPr>
          <w:rFonts w:ascii="Arial" w:cs="Arial" w:eastAsia="Arial" w:hAnsi="Arial"/>
          <w:color w:val="374151"/>
          <w:sz w:val="22"/>
          <w:szCs w:val="22"/>
        </w:rPr>
        <w:t xml:space="preserve">When you're ready to test with real Volvo content, there are two pathways:</w:t>
      </w:r>
    </w:p>
    <w:p>
      <w:pPr>
        <w:spacing w:before="80" w:after="0"/>
      </w:pPr>
      <w:r>
        <w:t xml:space="preserve"/>
      </w:r>
    </w:p>
    <w:p>
      <w:pPr>
        <w:spacing w:before="200" w:after="60"/>
      </w:pPr>
      <w:r>
        <w:rPr>
          <w:rFonts w:ascii="Arial" w:cs="Arial" w:eastAsia="Arial" w:hAnsi="Arial"/>
          <w:b/>
          <w:bCs/>
          <w:color w:val="374151"/>
          <w:sz w:val="22"/>
          <w:szCs w:val="22"/>
        </w:rPr>
        <w:t xml:space="preserve">Pathway A — Discovery Intake (recommended first attempt)</w:t>
      </w:r>
    </w:p>
    <w:p>
      <w:pPr>
        <w:spacing w:before="60" w:after="60"/>
      </w:pPr>
      <w:r>
        <w:rPr>
          <w:rFonts w:ascii="Arial" w:cs="Arial" w:eastAsia="Arial" w:hAnsi="Arial"/>
          <w:color w:val="374151"/>
          <w:sz w:val="22"/>
          <w:szCs w:val="22"/>
        </w:rPr>
        <w:t xml:space="preserve">Paste a discovery transcript, meeting notes, or even a structured Excel export into the New Discovery form. The AI will attempt to extract value streams, capabilities, and SBRs. This is the fastest path and tolerates messy input well.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4"/>
              <w:left w:val="single" w:color="86EFAC" w:sz="12"/>
              <w:bottom w:val="single" w:color="86EFAC" w:sz="4"/>
              <w:right w:val="single" w:color="86EFAC" w:sz="4"/>
            </w:tcBorders>
            <w:shd w:fill="DCFCE7" w:val="clear"/>
            <w:tcMar>
              <w:top w:type="dxa" w:w="120"/>
              <w:left w:type="dxa" w:w="200"/>
              <w:bottom w:type="dxa" w:w="120"/>
              <w:right w:type="dxa" w:w="200"/>
            </w:tcMar>
          </w:tcPr>
          <w:p>
            <w:pPr>
              <w:spacing w:before="0" w:after="40"/>
            </w:pPr>
            <w:r>
              <w:rPr>
                <w:rFonts w:ascii="Arial" w:cs="Arial" w:eastAsia="Arial" w:hAnsi="Arial"/>
                <w:b/>
                <w:bCs/>
                <w:color w:val="374151"/>
                <w:sz w:val="20"/>
                <w:szCs w:val="20"/>
              </w:rPr>
              <w:t xml:space="preserve">💡 Tip: Excel files work</w:t>
            </w:r>
          </w:p>
          <w:p>
            <w:pPr>
              <w:spacing w:before="0" w:after="0"/>
            </w:pPr>
            <w:r>
              <w:rPr>
                <w:rFonts w:ascii="Arial" w:cs="Arial" w:eastAsia="Arial" w:hAnsi="Arial"/>
                <w:color w:val="374151"/>
                <w:sz w:val="20"/>
                <w:szCs w:val="20"/>
              </w:rPr>
              <w:t xml:space="preserve">If you have a capability map or SBR register in Excel, you can drop the content directly into the Discovery Intake. Structured column headers (Capability, SBR, Owner, Priority etc.) give the AI strong signals to work from. The output won't be perfect — but it will be plausible, and you can refine from there.</w:t>
            </w:r>
          </w:p>
        </w:tc>
      </w:tr>
    </w:tbl>
    <w:p>
      <w:pPr>
        <w:spacing w:before="80" w:after="0"/>
      </w:pPr>
      <w:r>
        <w:t xml:space="preserve"/>
      </w:r>
    </w:p>
    <w:p>
      <w:pPr>
        <w:spacing w:before="200" w:after="60"/>
      </w:pPr>
      <w:r>
        <w:rPr>
          <w:rFonts w:ascii="Arial" w:cs="Arial" w:eastAsia="Arial" w:hAnsi="Arial"/>
          <w:b/>
          <w:bCs/>
          <w:color w:val="374151"/>
          <w:sz w:val="22"/>
          <w:szCs w:val="22"/>
        </w:rPr>
        <w:t xml:space="preserve">Pathway B — Direct JSON editing</w:t>
      </w:r>
    </w:p>
    <w:p>
      <w:pPr>
        <w:spacing w:before="60" w:after="60"/>
      </w:pPr>
      <w:r>
        <w:rPr>
          <w:rFonts w:ascii="Arial" w:cs="Arial" w:eastAsia="Arial" w:hAnsi="Arial"/>
          <w:color w:val="374151"/>
          <w:sz w:val="22"/>
          <w:szCs w:val="22"/>
        </w:rPr>
        <w:t xml:space="preserve">For more control, use the Ofluv scaffold as a template. Replace the capability names, activity names, roles, and metrics with anonymised Volvo equivalents. The schema structure stays the same — only the content changes.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4"/>
              <w:left w:val="single" w:color="FCD34D" w:sz="12"/>
              <w:bottom w:val="single" w:color="FCD34D" w:sz="4"/>
              <w:right w:val="single" w:color="FCD34D" w:sz="4"/>
            </w:tcBorders>
            <w:shd w:fill="FEF3C7" w:val="clear"/>
            <w:tcMar>
              <w:top w:type="dxa" w:w="120"/>
              <w:left w:type="dxa" w:w="200"/>
              <w:bottom w:type="dxa" w:w="120"/>
              <w:right w:type="dxa" w:w="200"/>
            </w:tcMar>
          </w:tcPr>
          <w:p>
            <w:pPr>
              <w:spacing w:before="0" w:after="40"/>
            </w:pPr>
            <w:r>
              <w:rPr>
                <w:rFonts w:ascii="Arial" w:cs="Arial" w:eastAsia="Arial" w:hAnsi="Arial"/>
                <w:b/>
                <w:bCs/>
                <w:color w:val="374151"/>
                <w:sz w:val="20"/>
                <w:szCs w:val="20"/>
              </w:rPr>
              <w:t xml:space="preserve">⚠️  Key constraint: anchor IDs must be consistent</w:t>
            </w:r>
          </w:p>
          <w:p>
            <w:pPr>
              <w:spacing w:before="0" w:after="0"/>
            </w:pPr>
            <w:r>
              <w:rPr>
                <w:rFonts w:ascii="Arial" w:cs="Arial" w:eastAsia="Arial" w:hAnsi="Arial"/>
                <w:color w:val="374151"/>
                <w:sz w:val="20"/>
                <w:szCs w:val="20"/>
              </w:rPr>
              <w:t xml:space="preserve">The heatmap references scaffold elements by ID (e.g. act_otc_receive_validate_order). If you change activity IDs in the scaffold, you must update the corresponding anchorIds in the heatmap. The tool will flag mismatches during the Assess Friction step.</w:t>
            </w:r>
          </w:p>
        </w:tc>
      </w:tr>
    </w:tbl>
    <w:p>
      <w:pPr>
        <w:pBdr>
          <w:bottom w:val="single" w:color="E2E8F0" w:sz="4"/>
        </w:pBdr>
        <w:spacing w:before="160" w:after="160"/>
      </w:pPr>
      <w:r>
        <w:t xml:space="preserve"/>
      </w:r>
    </w:p>
    <w:p>
      <w:pPr>
        <w:pStyle w:val="Heading2"/>
        <w:spacing w:before="280" w:after="80"/>
      </w:pPr>
      <w:r>
        <w:rPr>
          <w:rFonts w:ascii="Arial" w:cs="Arial" w:eastAsia="Arial" w:hAnsi="Arial"/>
          <w:b/>
          <w:bCs/>
          <w:color w:val="1B2A4A"/>
          <w:sz w:val="26"/>
          <w:szCs w:val="26"/>
        </w:rPr>
        <w:t xml:space="preserve">Schema Quick Reference</w:t>
      </w:r>
    </w:p>
    <w:p>
      <w:pPr>
        <w:spacing w:before="60" w:after="60"/>
      </w:pPr>
      <w:r>
        <w:rPr>
          <w:rFonts w:ascii="Arial" w:cs="Arial" w:eastAsia="Arial" w:hAnsi="Arial"/>
          <w:color w:val="374151"/>
          <w:sz w:val="22"/>
          <w:szCs w:val="22"/>
        </w:rPr>
        <w:t xml:space="preserve">The two files follow a strict schema. Here are the key fields you'll need if editing JSON directly:</w:t>
      </w:r>
    </w:p>
    <w:p>
      <w:pPr>
        <w:spacing w:before="80" w:after="0"/>
      </w:pPr>
      <w:r>
        <w:t xml:space="preserve"/>
      </w:r>
    </w:p>
    <w:p>
      <w:pPr>
        <w:spacing w:before="200" w:after="60"/>
      </w:pPr>
      <w:r>
        <w:rPr>
          <w:rFonts w:ascii="Arial" w:cs="Arial" w:eastAsia="Arial" w:hAnsi="Arial"/>
          <w:b/>
          <w:bCs/>
          <w:color w:val="374151"/>
          <w:sz w:val="22"/>
          <w:szCs w:val="22"/>
        </w:rPr>
        <w:t xml:space="preserve">Scaffold — key fields per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3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Unique identifier, e.g. act_otc_receive_validate_order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name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Display name shown on the canvas stage card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requiresCapabilityIds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One or more capability IDs this activity depends 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performedByRoleIds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Roles responsible for this activity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metricIds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KPIs tracked at this stage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controlIds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Governance controls applied at this stage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preOutcomeId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State before this activity executes (entry state)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postOutcomeId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State after this activity executes (exit state)</w:t>
            </w:r>
          </w:p>
        </w:tc>
      </w:tr>
    </w:tbl>
    <w:p>
      <w:pPr>
        <w:spacing w:before="160" w:after="0"/>
      </w:pPr>
      <w:r>
        <w:t xml:space="preserve"/>
      </w:r>
    </w:p>
    <w:p>
      <w:pPr>
        <w:spacing w:before="200" w:after="60"/>
      </w:pPr>
      <w:r>
        <w:rPr>
          <w:rFonts w:ascii="Arial" w:cs="Arial" w:eastAsia="Arial" w:hAnsi="Arial"/>
          <w:b/>
          <w:bCs/>
          <w:color w:val="374151"/>
          <w:sz w:val="22"/>
          <w:szCs w:val="22"/>
        </w:rPr>
        <w:t xml:space="preserve">Heatmap — key fields per observation (SBR)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3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observationId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Unique ID, e.g. sbr_001_unified_order_capture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category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Friction category — see categories below</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primaryAnchor.anchorType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"Activity" or "Capability"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primaryAnchor.anchorId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Must match an ID in the scaffold exactly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intensity.score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number</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0–10 scale. Drives priority and story points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confidence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number</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0–1. Displayed as percentage on the canvas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rationale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Full narrative — this is what drives user story generation</w:t>
            </w:r>
          </w:p>
        </w:tc>
      </w:tr>
    </w:tbl>
    <w:p>
      <w:pPr>
        <w:spacing w:before="160" w:after="0"/>
      </w:pPr>
      <w:r>
        <w:t xml:space="preserve"/>
      </w:r>
    </w:p>
    <w:p>
      <w:pPr>
        <w:spacing w:before="200" w:after="60"/>
      </w:pPr>
      <w:r>
        <w:rPr>
          <w:rFonts w:ascii="Arial" w:cs="Arial" w:eastAsia="Arial" w:hAnsi="Arial"/>
          <w:b/>
          <w:bCs/>
          <w:color w:val="374151"/>
          <w:sz w:val="22"/>
          <w:szCs w:val="22"/>
        </w:rPr>
        <w:t xml:space="preserve">SBR Friction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6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When to use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TechnologyIntegrationFriction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Systems are fragmented, not integrated, or require manual re-keying</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DataSignalFriction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Decisions are made on stale, incomplete, or inaccurate data</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ProcessHandoffFriction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Work crosses boundaries with no shared workflow or case management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GovernanceRiskFriction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Compliance obligations, audit requirements, or regulatory risk</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1D4ED8"/>
                <w:sz w:val="18"/>
                <w:szCs w:val="18"/>
              </w:rPr>
              <w:t xml:space="preserve">IncentiveCapacityFriction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Teams lack the capability, capacity, or incentive to perform the activity</w:t>
            </w:r>
          </w:p>
        </w:tc>
      </w:tr>
    </w:tbl>
    <w:p>
      <w:pPr>
        <w:pBdr>
          <w:bottom w:val="single" w:color="E2E8F0" w:sz="4"/>
        </w:pBdr>
        <w:spacing w:before="160" w:after="160"/>
      </w:pPr>
      <w:r>
        <w:t xml:space="preserve"/>
      </w:r>
    </w:p>
    <w:p>
      <w:pPr>
        <w:pStyle w:val="Heading2"/>
        <w:spacing w:before="280" w:after="80"/>
      </w:pPr>
      <w:r>
        <w:rPr>
          <w:rFonts w:ascii="Arial" w:cs="Arial" w:eastAsia="Arial" w:hAnsi="Arial"/>
          <w:b/>
          <w:bCs/>
          <w:color w:val="1B2A4A"/>
          <w:sz w:val="26"/>
          <w:szCs w:val="26"/>
        </w:rPr>
        <w:t xml:space="preserve">Feedback That Would Be Most Useful</w:t>
      </w:r>
    </w:p>
    <w:p>
      <w:pPr>
        <w:spacing w:before="60" w:after="60"/>
      </w:pPr>
      <w:r>
        <w:rPr>
          <w:rFonts w:ascii="Arial" w:cs="Arial" w:eastAsia="Arial" w:hAnsi="Arial"/>
          <w:color w:val="374151"/>
          <w:sz w:val="22"/>
          <w:szCs w:val="22"/>
        </w:rPr>
        <w:t xml:space="preserve">As you explore the tool with the Ofluv content and then with anonymised Volvo material, the following questions will help shape development: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12"/>
              <w:bottom w:val="single" w:color="93C5FD" w:sz="4"/>
              <w:right w:val="single" w:color="93C5FD" w:sz="4"/>
            </w:tcBorders>
            <w:shd w:fill="EFF6FF" w:val="clear"/>
            <w:tcMar>
              <w:top w:type="dxa" w:w="120"/>
              <w:left w:type="dxa" w:w="200"/>
              <w:bottom w:type="dxa" w:w="120"/>
              <w:right w:type="dxa" w:w="200"/>
            </w:tcMar>
          </w:tcPr>
          <w:p>
            <w:pPr>
              <w:spacing w:before="0" w:after="40"/>
            </w:pPr>
            <w:r>
              <w:rPr>
                <w:rFonts w:ascii="Arial" w:cs="Arial" w:eastAsia="Arial" w:hAnsi="Arial"/>
                <w:b/>
                <w:bCs/>
                <w:color w:val="374151"/>
                <w:sz w:val="20"/>
                <w:szCs w:val="20"/>
              </w:rPr>
              <w:t xml:space="preserve">On the model quality</w:t>
            </w:r>
          </w:p>
          <w:p>
            <w:pPr>
              <w:spacing w:before="0" w:after="0"/>
            </w:pPr>
            <w:r>
              <w:rPr>
                <w:rFonts w:ascii="Arial" w:cs="Arial" w:eastAsia="Arial" w:hAnsi="Arial"/>
                <w:color w:val="374151"/>
                <w:sz w:val="20"/>
                <w:szCs w:val="20"/>
              </w:rPr>
              <w:t xml:space="preserve">Does the Ofluv scaffold feel plausible for a heavy industrial / commercial vehicle manufacturer? Are the value stream names, capability names, and activity descriptions recognisable? What's obviously wrong or missing?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B4FC" w:sz="4"/>
              <w:left w:val="single" w:color="A5B4FC" w:sz="12"/>
              <w:bottom w:val="single" w:color="A5B4FC" w:sz="4"/>
              <w:right w:val="single" w:color="A5B4FC" w:sz="4"/>
            </w:tcBorders>
            <w:shd w:fill="EEF2FF" w:val="clear"/>
            <w:tcMar>
              <w:top w:type="dxa" w:w="120"/>
              <w:left w:type="dxa" w:w="200"/>
              <w:bottom w:type="dxa" w:w="120"/>
              <w:right w:type="dxa" w:w="200"/>
            </w:tcMar>
          </w:tcPr>
          <w:p>
            <w:pPr>
              <w:spacing w:before="0" w:after="40"/>
            </w:pPr>
            <w:r>
              <w:rPr>
                <w:rFonts w:ascii="Arial" w:cs="Arial" w:eastAsia="Arial" w:hAnsi="Arial"/>
                <w:b/>
                <w:bCs/>
                <w:color w:val="374151"/>
                <w:sz w:val="20"/>
                <w:szCs w:val="20"/>
              </w:rPr>
              <w:t xml:space="preserve">On the SBRs</w:t>
            </w:r>
          </w:p>
          <w:p>
            <w:pPr>
              <w:spacing w:before="0" w:after="0"/>
            </w:pPr>
            <w:r>
              <w:rPr>
                <w:rFonts w:ascii="Arial" w:cs="Arial" w:eastAsia="Arial" w:hAnsi="Arial"/>
                <w:color w:val="374151"/>
                <w:sz w:val="20"/>
                <w:szCs w:val="20"/>
              </w:rPr>
              <w:t xml:space="preserve">Are the friction categories meaningful? Does the binding constraint identification feel right? Are the intensity scores credible? What would you expect to see that isn't there?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4"/>
              <w:left w:val="single" w:color="86EFAC" w:sz="12"/>
              <w:bottom w:val="single" w:color="86EFAC" w:sz="4"/>
              <w:right w:val="single" w:color="86EFAC" w:sz="4"/>
            </w:tcBorders>
            <w:shd w:fill="DCFCE7" w:val="clear"/>
            <w:tcMar>
              <w:top w:type="dxa" w:w="120"/>
              <w:left w:type="dxa" w:w="200"/>
              <w:bottom w:type="dxa" w:w="120"/>
              <w:right w:type="dxa" w:w="200"/>
            </w:tcMar>
          </w:tcPr>
          <w:p>
            <w:pPr>
              <w:spacing w:before="0" w:after="40"/>
            </w:pPr>
            <w:r>
              <w:rPr>
                <w:rFonts w:ascii="Arial" w:cs="Arial" w:eastAsia="Arial" w:hAnsi="Arial"/>
                <w:b/>
                <w:bCs/>
                <w:color w:val="374151"/>
                <w:sz w:val="20"/>
                <w:szCs w:val="20"/>
              </w:rPr>
              <w:t xml:space="preserve">On the user story generation</w:t>
            </w:r>
          </w:p>
          <w:p>
            <w:pPr>
              <w:spacing w:before="0" w:after="0"/>
            </w:pPr>
            <w:r>
              <w:rPr>
                <w:rFonts w:ascii="Arial" w:cs="Arial" w:eastAsia="Arial" w:hAnsi="Arial"/>
                <w:color w:val="374151"/>
                <w:sz w:val="20"/>
                <w:szCs w:val="20"/>
              </w:rPr>
              <w:t xml:space="preserve">Do the generated stories feel useful as delivery artefacts? Are the acceptance criteria testable? Would these land in a sprint planning session? What's missing for Jira import to be truly useful?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4"/>
              <w:left w:val="single" w:color="FCD34D" w:sz="12"/>
              <w:bottom w:val="single" w:color="FCD34D" w:sz="4"/>
              <w:right w:val="single" w:color="FCD34D" w:sz="4"/>
            </w:tcBorders>
            <w:shd w:fill="FEF3C7" w:val="clear"/>
            <w:tcMar>
              <w:top w:type="dxa" w:w="120"/>
              <w:left w:type="dxa" w:w="200"/>
              <w:bottom w:type="dxa" w:w="120"/>
              <w:right w:type="dxa" w:w="200"/>
            </w:tcMar>
          </w:tcPr>
          <w:p>
            <w:pPr>
              <w:spacing w:before="0" w:after="40"/>
            </w:pPr>
            <w:r>
              <w:rPr>
                <w:rFonts w:ascii="Arial" w:cs="Arial" w:eastAsia="Arial" w:hAnsi="Arial"/>
                <w:b/>
                <w:bCs/>
                <w:color w:val="374151"/>
                <w:sz w:val="20"/>
                <w:szCs w:val="20"/>
              </w:rPr>
              <w:t xml:space="preserve">On the anonymised Volvo content</w:t>
            </w:r>
          </w:p>
          <w:p>
            <w:pPr>
              <w:spacing w:before="0" w:after="0"/>
            </w:pPr>
            <w:r>
              <w:rPr>
                <w:rFonts w:ascii="Arial" w:cs="Arial" w:eastAsia="Arial" w:hAnsi="Arial"/>
                <w:color w:val="374151"/>
                <w:sz w:val="20"/>
                <w:szCs w:val="20"/>
              </w:rPr>
              <w:t xml:space="preserve">What format is your source data in — Excel, Word, PowerPoint, conversation notes? What's easiest for you to anonymise and share? What did the extraction get right vs wrong?</w:t>
            </w:r>
          </w:p>
        </w:tc>
      </w:tr>
    </w:tbl>
    <w:p>
      <w:pPr>
        <w:pBdr>
          <w:bottom w:val="single" w:color="E2E8F0" w:sz="4"/>
        </w:pBdr>
        <w:spacing w:before="160" w:after="160"/>
      </w:pPr>
      <w:r>
        <w:t xml:space="preserve"/>
      </w:r>
    </w:p>
    <w:p>
      <w:pPr>
        <w:spacing w:before="0" w:after="60"/>
      </w:pPr>
      <w:r>
        <w:rPr>
          <w:rFonts w:ascii="Arial" w:cs="Arial" w:eastAsia="Arial" w:hAnsi="Arial"/>
          <w:color w:val="6B7280"/>
          <w:sz w:val="20"/>
          <w:szCs w:val="20"/>
        </w:rPr>
        <w:t xml:space="preserve">Questions? Contact Terry Roach directly.</w:t>
      </w:r>
    </w:p>
    <w:p>
      <w:pPr>
        <w:spacing w:before="0" w:after="0"/>
      </w:pPr>
      <w:r>
        <w:rPr>
          <w:rFonts w:ascii="Arial" w:cs="Arial" w:eastAsia="Arial" w:hAnsi="Arial"/>
          <w:color w:val="6B7280"/>
          <w:sz w:val="20"/>
          <w:szCs w:val="20"/>
        </w:rPr>
        <w:t xml:space="preserve">This is a live, rapidly developing tool. Your feedback directly shapes what gets built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2026-03-05T06:42:51.258Z</dcterms:created>
  <dcterms:modified xsi:type="dcterms:W3CDTF">2026-03-05T06:42:51.260Z</dcterms:modified>
</cp:coreProperties>
</file>

<file path=docProps/custom.xml><?xml version="1.0" encoding="utf-8"?>
<Properties xmlns="http://schemas.openxmlformats.org/officeDocument/2006/custom-properties" xmlns:vt="http://schemas.openxmlformats.org/officeDocument/2006/docPropsVTypes"/>
</file>